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6A8DB" w14:textId="77777777" w:rsidR="00D223AD" w:rsidRDefault="00F82C24" w:rsidP="00F82C24">
      <w:pPr>
        <w:ind w:left="0" w:firstLine="0"/>
        <w:jc w:val="right"/>
        <w:rPr>
          <w:noProof/>
        </w:rPr>
      </w:pPr>
      <w:bookmarkStart w:id="0" w:name="_GoBack"/>
      <w:bookmarkEnd w:id="0"/>
      <w:r>
        <w:rPr>
          <w:noProof/>
        </w:rPr>
        <w:drawing>
          <wp:inline distT="0" distB="0" distL="0" distR="0" wp14:anchorId="065D02F3" wp14:editId="781CC87C">
            <wp:extent cx="3585550"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E_logo m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1673" cy="882273"/>
                    </a:xfrm>
                    <a:prstGeom prst="rect">
                      <a:avLst/>
                    </a:prstGeom>
                  </pic:spPr>
                </pic:pic>
              </a:graphicData>
            </a:graphic>
          </wp:inline>
        </w:drawing>
      </w:r>
    </w:p>
    <w:p w14:paraId="0CA8C90E" w14:textId="77777777" w:rsidR="00F82C24" w:rsidRDefault="00F82C24" w:rsidP="00D223AD">
      <w:pPr>
        <w:ind w:left="0" w:firstLine="0"/>
        <w:rPr>
          <w:noProof/>
        </w:rPr>
      </w:pPr>
    </w:p>
    <w:p w14:paraId="4235DC5A" w14:textId="77777777" w:rsidR="00F82C24" w:rsidRDefault="00F82C24" w:rsidP="00D223AD">
      <w:pPr>
        <w:ind w:left="0" w:firstLine="0"/>
        <w:rPr>
          <w:noProof/>
        </w:rPr>
      </w:pPr>
    </w:p>
    <w:p w14:paraId="2753405D" w14:textId="77777777" w:rsidR="00F82C24" w:rsidRDefault="00F82C24" w:rsidP="00D223AD">
      <w:pPr>
        <w:ind w:left="0" w:firstLine="0"/>
        <w:rPr>
          <w:noProof/>
        </w:rPr>
      </w:pPr>
    </w:p>
    <w:p w14:paraId="3FD8F731" w14:textId="77777777" w:rsidR="00F82C24" w:rsidRDefault="00F82C24" w:rsidP="00D223AD">
      <w:pPr>
        <w:ind w:left="0" w:firstLine="0"/>
        <w:rPr>
          <w:noProof/>
          <w:sz w:val="40"/>
          <w:szCs w:val="40"/>
        </w:rPr>
      </w:pPr>
    </w:p>
    <w:p w14:paraId="018FF09D" w14:textId="77777777" w:rsidR="00F82C24" w:rsidRDefault="00F82C24" w:rsidP="00D223AD">
      <w:pPr>
        <w:ind w:left="0" w:firstLine="0"/>
        <w:rPr>
          <w:noProof/>
          <w:sz w:val="40"/>
          <w:szCs w:val="40"/>
        </w:rPr>
      </w:pPr>
    </w:p>
    <w:p w14:paraId="76904F54" w14:textId="77777777" w:rsidR="00F82C24" w:rsidRDefault="00F82C24">
      <w:pPr>
        <w:spacing w:after="160" w:line="259" w:lineRule="auto"/>
        <w:ind w:left="0" w:firstLine="0"/>
        <w:jc w:val="left"/>
      </w:pPr>
    </w:p>
    <w:tbl>
      <w:tblPr>
        <w:tblW w:w="9948" w:type="dxa"/>
        <w:tblInd w:w="-432" w:type="dxa"/>
        <w:tblLayout w:type="fixed"/>
        <w:tblLook w:val="0000" w:firstRow="0" w:lastRow="0" w:firstColumn="0" w:lastColumn="0" w:noHBand="0" w:noVBand="0"/>
      </w:tblPr>
      <w:tblGrid>
        <w:gridCol w:w="9948"/>
      </w:tblGrid>
      <w:tr w:rsidR="00C5412E" w:rsidRPr="003624D8" w14:paraId="5AC3D39F" w14:textId="77777777" w:rsidTr="00FE2E48">
        <w:trPr>
          <w:cantSplit/>
        </w:trPr>
        <w:tc>
          <w:tcPr>
            <w:tcW w:w="9948" w:type="dxa"/>
          </w:tcPr>
          <w:p w14:paraId="7EEFE3D6" w14:textId="2F533EC8" w:rsidR="005410D3" w:rsidRPr="008A3134" w:rsidRDefault="005410D3" w:rsidP="008A3134">
            <w:pPr>
              <w:pStyle w:val="Noindent"/>
              <w:tabs>
                <w:tab w:val="clear" w:pos="426"/>
              </w:tabs>
              <w:spacing w:before="240"/>
              <w:jc w:val="center"/>
              <w:rPr>
                <w:b/>
                <w:bCs/>
              </w:rPr>
            </w:pPr>
            <w:r w:rsidRPr="008A3134">
              <w:rPr>
                <w:b/>
                <w:bCs/>
              </w:rPr>
              <w:t>AN E</w:t>
            </w:r>
            <w:r w:rsidR="00C5412E" w:rsidRPr="008A3134">
              <w:rPr>
                <w:b/>
                <w:bCs/>
              </w:rPr>
              <w:t xml:space="preserve">XAMINATION </w:t>
            </w:r>
            <w:r w:rsidRPr="008A3134">
              <w:rPr>
                <w:b/>
                <w:bCs/>
              </w:rPr>
              <w:t>UNDER SECTION 212</w:t>
            </w:r>
          </w:p>
          <w:p w14:paraId="07AF3CDD" w14:textId="188344B7" w:rsidR="005410D3" w:rsidRPr="008A3134" w:rsidRDefault="005410D3" w:rsidP="008A3134">
            <w:pPr>
              <w:pStyle w:val="Noindent"/>
              <w:tabs>
                <w:tab w:val="clear" w:pos="426"/>
              </w:tabs>
              <w:jc w:val="center"/>
              <w:rPr>
                <w:b/>
                <w:bCs/>
              </w:rPr>
            </w:pPr>
            <w:r w:rsidRPr="008A3134">
              <w:rPr>
                <w:b/>
                <w:bCs/>
              </w:rPr>
              <w:t xml:space="preserve">OF THE PLANNING ACT 2008 (AS AMENDED) </w:t>
            </w:r>
          </w:p>
          <w:p w14:paraId="22BF09F2" w14:textId="77777777" w:rsidR="005410D3" w:rsidRPr="008A3134" w:rsidRDefault="005410D3" w:rsidP="00FE2E48">
            <w:pPr>
              <w:pStyle w:val="Noindent"/>
              <w:tabs>
                <w:tab w:val="clear" w:pos="426"/>
              </w:tabs>
              <w:spacing w:before="240"/>
              <w:jc w:val="center"/>
            </w:pPr>
          </w:p>
          <w:p w14:paraId="5FF4EBD7" w14:textId="5CCE0DB4" w:rsidR="00824776" w:rsidRPr="00BB645A" w:rsidRDefault="005410D3" w:rsidP="00BB645A">
            <w:pPr>
              <w:jc w:val="center"/>
              <w:rPr>
                <w:b/>
                <w:bCs/>
                <w:color w:val="002060"/>
                <w:sz w:val="26"/>
                <w:szCs w:val="26"/>
              </w:rPr>
            </w:pPr>
            <w:r w:rsidRPr="00BB645A">
              <w:rPr>
                <w:b/>
                <w:bCs/>
                <w:color w:val="002060"/>
                <w:sz w:val="26"/>
                <w:szCs w:val="26"/>
              </w:rPr>
              <w:t xml:space="preserve">REPORT ON THE </w:t>
            </w:r>
            <w:r w:rsidR="00C5412E" w:rsidRPr="00BB645A">
              <w:rPr>
                <w:b/>
                <w:bCs/>
                <w:color w:val="002060"/>
                <w:sz w:val="26"/>
                <w:szCs w:val="26"/>
              </w:rPr>
              <w:t xml:space="preserve">DRAFT </w:t>
            </w:r>
            <w:r w:rsidR="00272070" w:rsidRPr="00BB645A">
              <w:rPr>
                <w:b/>
                <w:bCs/>
                <w:color w:val="002060"/>
                <w:sz w:val="26"/>
                <w:szCs w:val="26"/>
              </w:rPr>
              <w:t>OXFORD CITY COUNCIL</w:t>
            </w:r>
          </w:p>
          <w:p w14:paraId="7D738E5E" w14:textId="77777777" w:rsidR="00C5412E" w:rsidRPr="00BB645A" w:rsidRDefault="00C5412E" w:rsidP="00BB645A">
            <w:pPr>
              <w:jc w:val="center"/>
              <w:rPr>
                <w:b/>
                <w:bCs/>
                <w:color w:val="002060"/>
                <w:sz w:val="26"/>
                <w:szCs w:val="26"/>
              </w:rPr>
            </w:pPr>
            <w:r w:rsidRPr="00BB645A">
              <w:rPr>
                <w:b/>
                <w:bCs/>
                <w:color w:val="002060"/>
                <w:sz w:val="26"/>
                <w:szCs w:val="26"/>
              </w:rPr>
              <w:t>COMMUNITY INFRASTRUCTURE LEVY CHARGING SCHEDULE</w:t>
            </w:r>
          </w:p>
          <w:p w14:paraId="74F449E5" w14:textId="526AA2D0" w:rsidR="0041287B" w:rsidRPr="003624D8" w:rsidRDefault="0041287B" w:rsidP="00FE2E48">
            <w:pPr>
              <w:pStyle w:val="Noindent"/>
              <w:tabs>
                <w:tab w:val="clear" w:pos="426"/>
              </w:tabs>
              <w:spacing w:before="240"/>
              <w:jc w:val="center"/>
              <w:rPr>
                <w:b/>
              </w:rPr>
            </w:pPr>
          </w:p>
        </w:tc>
      </w:tr>
    </w:tbl>
    <w:p w14:paraId="19404107" w14:textId="77777777" w:rsidR="00F82C24" w:rsidRDefault="00F82C24">
      <w:pPr>
        <w:spacing w:after="160" w:line="259" w:lineRule="auto"/>
        <w:ind w:left="0" w:firstLine="0"/>
        <w:jc w:val="left"/>
      </w:pPr>
    </w:p>
    <w:p w14:paraId="510B7897" w14:textId="77777777" w:rsidR="00F82C24" w:rsidRDefault="00F82C24">
      <w:pPr>
        <w:spacing w:after="160" w:line="259" w:lineRule="auto"/>
        <w:ind w:left="0" w:firstLine="0"/>
        <w:jc w:val="left"/>
      </w:pPr>
    </w:p>
    <w:p w14:paraId="401E2AE6" w14:textId="77777777" w:rsidR="00F82C24" w:rsidRDefault="00F82C24">
      <w:pPr>
        <w:spacing w:after="160" w:line="259" w:lineRule="auto"/>
        <w:ind w:left="0" w:firstLine="0"/>
        <w:jc w:val="left"/>
      </w:pPr>
    </w:p>
    <w:p w14:paraId="60607E90" w14:textId="77777777" w:rsidR="00F82C24" w:rsidRDefault="00F82C24">
      <w:pPr>
        <w:spacing w:after="160" w:line="259" w:lineRule="auto"/>
        <w:ind w:left="0" w:firstLine="0"/>
        <w:jc w:val="left"/>
      </w:pPr>
    </w:p>
    <w:p w14:paraId="70E43F50" w14:textId="77777777" w:rsidR="00F82C24" w:rsidRDefault="00F82C24">
      <w:pPr>
        <w:spacing w:after="160" w:line="259" w:lineRule="auto"/>
        <w:ind w:left="0" w:firstLine="0"/>
        <w:jc w:val="left"/>
      </w:pPr>
    </w:p>
    <w:p w14:paraId="7F5DDA91" w14:textId="77777777" w:rsidR="00F82C24" w:rsidRDefault="00F82C24">
      <w:pPr>
        <w:spacing w:after="160" w:line="259" w:lineRule="auto"/>
        <w:ind w:left="0" w:firstLine="0"/>
        <w:jc w:val="left"/>
      </w:pPr>
    </w:p>
    <w:p w14:paraId="3DB7170B" w14:textId="77777777" w:rsidR="005410D3" w:rsidRDefault="005410D3" w:rsidP="00896FAC">
      <w:pPr>
        <w:autoSpaceDE w:val="0"/>
        <w:autoSpaceDN w:val="0"/>
        <w:adjustRightInd w:val="0"/>
        <w:ind w:left="0" w:firstLine="0"/>
        <w:jc w:val="left"/>
      </w:pPr>
    </w:p>
    <w:p w14:paraId="16B5774F" w14:textId="77777777" w:rsidR="005410D3" w:rsidRDefault="005410D3" w:rsidP="00896FAC">
      <w:pPr>
        <w:autoSpaceDE w:val="0"/>
        <w:autoSpaceDN w:val="0"/>
        <w:adjustRightInd w:val="0"/>
        <w:ind w:left="0" w:firstLine="0"/>
        <w:jc w:val="left"/>
      </w:pPr>
    </w:p>
    <w:p w14:paraId="77227F5C" w14:textId="77777777" w:rsidR="005410D3" w:rsidRDefault="005410D3" w:rsidP="00896FAC">
      <w:pPr>
        <w:autoSpaceDE w:val="0"/>
        <w:autoSpaceDN w:val="0"/>
        <w:adjustRightInd w:val="0"/>
        <w:ind w:left="0" w:firstLine="0"/>
        <w:jc w:val="left"/>
      </w:pPr>
    </w:p>
    <w:p w14:paraId="5753335E" w14:textId="77777777" w:rsidR="005410D3" w:rsidRDefault="005410D3" w:rsidP="00896FAC">
      <w:pPr>
        <w:autoSpaceDE w:val="0"/>
        <w:autoSpaceDN w:val="0"/>
        <w:adjustRightInd w:val="0"/>
        <w:ind w:left="0" w:firstLine="0"/>
        <w:jc w:val="left"/>
      </w:pPr>
    </w:p>
    <w:p w14:paraId="3C975690" w14:textId="77777777" w:rsidR="005410D3" w:rsidRDefault="005410D3" w:rsidP="00896FAC">
      <w:pPr>
        <w:autoSpaceDE w:val="0"/>
        <w:autoSpaceDN w:val="0"/>
        <w:adjustRightInd w:val="0"/>
        <w:ind w:left="0" w:firstLine="0"/>
        <w:jc w:val="left"/>
      </w:pPr>
    </w:p>
    <w:p w14:paraId="37EA6EAD" w14:textId="77777777" w:rsidR="005410D3" w:rsidRDefault="005410D3" w:rsidP="00896FAC">
      <w:pPr>
        <w:autoSpaceDE w:val="0"/>
        <w:autoSpaceDN w:val="0"/>
        <w:adjustRightInd w:val="0"/>
        <w:ind w:left="0" w:firstLine="0"/>
        <w:jc w:val="left"/>
      </w:pPr>
    </w:p>
    <w:p w14:paraId="6818556B" w14:textId="77777777" w:rsidR="005410D3" w:rsidRDefault="005410D3" w:rsidP="00896FAC">
      <w:pPr>
        <w:autoSpaceDE w:val="0"/>
        <w:autoSpaceDN w:val="0"/>
        <w:adjustRightInd w:val="0"/>
        <w:ind w:left="0" w:firstLine="0"/>
        <w:jc w:val="left"/>
      </w:pPr>
    </w:p>
    <w:p w14:paraId="7B854380" w14:textId="26B3371F" w:rsidR="00262021" w:rsidRPr="00582BD2" w:rsidRDefault="00F82C24" w:rsidP="004E364F">
      <w:pPr>
        <w:autoSpaceDE w:val="0"/>
        <w:autoSpaceDN w:val="0"/>
        <w:adjustRightInd w:val="0"/>
        <w:ind w:left="0" w:firstLine="0"/>
        <w:jc w:val="left"/>
        <w:rPr>
          <w:rFonts w:eastAsiaTheme="minorHAnsi" w:cs="Arial"/>
          <w:b/>
          <w:bCs/>
          <w:szCs w:val="22"/>
          <w:lang w:eastAsia="en-US"/>
        </w:rPr>
      </w:pPr>
      <w:r w:rsidRPr="00262021">
        <w:t>Independent Examiner</w:t>
      </w:r>
      <w:r w:rsidR="00C5412E">
        <w:t xml:space="preserve"> (appointed by the Council)</w:t>
      </w:r>
      <w:r w:rsidRPr="00262021">
        <w:t xml:space="preserve">: </w:t>
      </w:r>
      <w:r w:rsidR="00AA6735">
        <w:t>Keith Holland BA (Hons) Dip TP MRTPI ARICS</w:t>
      </w:r>
    </w:p>
    <w:p w14:paraId="6F15D284" w14:textId="77777777" w:rsidR="00582BD2" w:rsidRDefault="00582BD2" w:rsidP="004E364F">
      <w:pPr>
        <w:ind w:left="0" w:firstLine="0"/>
        <w:jc w:val="left"/>
      </w:pPr>
    </w:p>
    <w:p w14:paraId="01A559C2" w14:textId="3749A876" w:rsidR="005410D3" w:rsidRDefault="005410D3" w:rsidP="004E364F">
      <w:pPr>
        <w:ind w:left="0" w:firstLine="0"/>
        <w:jc w:val="left"/>
      </w:pPr>
      <w:r>
        <w:t xml:space="preserve">Charging Schedule </w:t>
      </w:r>
      <w:r w:rsidR="00582BD2">
        <w:t>S</w:t>
      </w:r>
      <w:r>
        <w:t xml:space="preserve">ubmitted for Examination: </w:t>
      </w:r>
      <w:r w:rsidR="00797BB7">
        <w:t>12 February 2025</w:t>
      </w:r>
    </w:p>
    <w:p w14:paraId="274E46ED" w14:textId="77777777" w:rsidR="004E364F" w:rsidRDefault="004E364F" w:rsidP="004E364F">
      <w:pPr>
        <w:ind w:left="0" w:firstLine="0"/>
        <w:jc w:val="left"/>
      </w:pPr>
    </w:p>
    <w:p w14:paraId="16AB68D0" w14:textId="604FA7CF" w:rsidR="00BB645A" w:rsidRDefault="00262021" w:rsidP="004E364F">
      <w:pPr>
        <w:ind w:left="0" w:firstLine="0"/>
        <w:jc w:val="left"/>
      </w:pPr>
      <w:r w:rsidRPr="00262021">
        <w:t>D</w:t>
      </w:r>
      <w:r w:rsidR="00F82C24" w:rsidRPr="00262021">
        <w:t xml:space="preserve">ate of </w:t>
      </w:r>
      <w:r w:rsidR="00F82C24" w:rsidRPr="00F86ABF">
        <w:rPr>
          <w:bCs/>
        </w:rPr>
        <w:t>Report:</w:t>
      </w:r>
      <w:r w:rsidR="00F82C24" w:rsidRPr="00262021">
        <w:t xml:space="preserve"> </w:t>
      </w:r>
      <w:r w:rsidR="00F86ABF">
        <w:t>30 April 2025</w:t>
      </w:r>
    </w:p>
    <w:p w14:paraId="40153B0E" w14:textId="77777777" w:rsidR="00BB645A" w:rsidRDefault="00BB645A">
      <w:pPr>
        <w:spacing w:after="160" w:line="259" w:lineRule="auto"/>
        <w:ind w:left="0" w:firstLine="0"/>
        <w:jc w:val="left"/>
      </w:pPr>
      <w:r>
        <w:br w:type="page"/>
      </w:r>
    </w:p>
    <w:p w14:paraId="16BCC990" w14:textId="1CA5BD9A" w:rsidR="00F82C24" w:rsidRDefault="00BB645A" w:rsidP="004E364F">
      <w:pPr>
        <w:ind w:left="0" w:firstLine="0"/>
        <w:jc w:val="left"/>
        <w:rPr>
          <w:b/>
          <w:color w:val="002060"/>
          <w:sz w:val="26"/>
          <w:szCs w:val="26"/>
        </w:rPr>
      </w:pPr>
      <w:r w:rsidRPr="00BB645A">
        <w:rPr>
          <w:b/>
          <w:color w:val="002060"/>
          <w:sz w:val="26"/>
          <w:szCs w:val="26"/>
        </w:rPr>
        <w:lastRenderedPageBreak/>
        <w:t>Contents</w:t>
      </w:r>
    </w:p>
    <w:p w14:paraId="313A2881" w14:textId="77777777" w:rsidR="00BB645A" w:rsidRDefault="00BB645A" w:rsidP="004E364F">
      <w:pPr>
        <w:ind w:left="0" w:firstLine="0"/>
        <w:jc w:val="left"/>
        <w:rPr>
          <w:b/>
          <w:color w:val="002060"/>
          <w:sz w:val="26"/>
          <w:szCs w:val="26"/>
        </w:rPr>
      </w:pPr>
    </w:p>
    <w:p w14:paraId="2CD667F5" w14:textId="5F52FD31"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b/>
          <w:color w:val="002060"/>
          <w:sz w:val="26"/>
          <w:szCs w:val="26"/>
        </w:rPr>
        <w:tab/>
      </w:r>
      <w:r w:rsidR="00BB645A">
        <w:rPr>
          <w:b/>
          <w:color w:val="002060"/>
          <w:sz w:val="26"/>
          <w:szCs w:val="26"/>
        </w:rPr>
        <w:fldChar w:fldCharType="begin"/>
      </w:r>
      <w:r w:rsidR="00BB645A">
        <w:rPr>
          <w:b/>
          <w:color w:val="002060"/>
          <w:sz w:val="26"/>
          <w:szCs w:val="26"/>
        </w:rPr>
        <w:instrText xml:space="preserve"> TOC \o "1-3" \h \z \u </w:instrText>
      </w:r>
      <w:r w:rsidR="00BB645A">
        <w:rPr>
          <w:b/>
          <w:color w:val="002060"/>
          <w:sz w:val="26"/>
          <w:szCs w:val="26"/>
        </w:rPr>
        <w:fldChar w:fldCharType="separate"/>
      </w:r>
      <w:hyperlink w:anchor="_Toc196226485" w:history="1">
        <w:r w:rsidR="00BB645A" w:rsidRPr="00CE3131">
          <w:rPr>
            <w:rStyle w:val="Hyperlink"/>
            <w:b/>
            <w:noProof/>
            <w:lang w:val="en-US"/>
          </w:rPr>
          <w:t>Main Findings</w:t>
        </w:r>
        <w:r w:rsidR="00BB645A" w:rsidRPr="00CE3131">
          <w:rPr>
            <w:rStyle w:val="Hyperlink"/>
            <w:noProof/>
            <w:lang w:val="en-US"/>
          </w:rPr>
          <w:t xml:space="preserve"> - Executive Summary</w:t>
        </w:r>
        <w:r w:rsidR="00BB645A">
          <w:rPr>
            <w:noProof/>
            <w:webHidden/>
          </w:rPr>
          <w:tab/>
        </w:r>
        <w:r w:rsidR="00BB645A">
          <w:rPr>
            <w:noProof/>
            <w:webHidden/>
          </w:rPr>
          <w:fldChar w:fldCharType="begin"/>
        </w:r>
        <w:r w:rsidR="00BB645A">
          <w:rPr>
            <w:noProof/>
            <w:webHidden/>
          </w:rPr>
          <w:instrText xml:space="preserve"> PAGEREF _Toc196226485 \h </w:instrText>
        </w:r>
        <w:r w:rsidR="00BB645A">
          <w:rPr>
            <w:noProof/>
            <w:webHidden/>
          </w:rPr>
        </w:r>
        <w:r w:rsidR="00BB645A">
          <w:rPr>
            <w:noProof/>
            <w:webHidden/>
          </w:rPr>
          <w:fldChar w:fldCharType="separate"/>
        </w:r>
        <w:r w:rsidR="002031F3">
          <w:rPr>
            <w:noProof/>
            <w:webHidden/>
          </w:rPr>
          <w:t>3</w:t>
        </w:r>
        <w:r w:rsidR="00BB645A">
          <w:rPr>
            <w:noProof/>
            <w:webHidden/>
          </w:rPr>
          <w:fldChar w:fldCharType="end"/>
        </w:r>
      </w:hyperlink>
    </w:p>
    <w:p w14:paraId="385EDCC0" w14:textId="640E2D01"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rStyle w:val="Hyperlink"/>
          <w:noProof/>
        </w:rPr>
        <w:tab/>
      </w:r>
      <w:hyperlink w:anchor="_Toc196226486" w:history="1">
        <w:r w:rsidR="00BB645A" w:rsidRPr="00CE3131">
          <w:rPr>
            <w:rStyle w:val="Hyperlink"/>
            <w:noProof/>
          </w:rPr>
          <w:t>Introduction</w:t>
        </w:r>
        <w:r w:rsidR="00BB645A">
          <w:rPr>
            <w:noProof/>
            <w:webHidden/>
          </w:rPr>
          <w:tab/>
        </w:r>
        <w:r w:rsidR="00BB645A">
          <w:rPr>
            <w:noProof/>
            <w:webHidden/>
          </w:rPr>
          <w:fldChar w:fldCharType="begin"/>
        </w:r>
        <w:r w:rsidR="00BB645A">
          <w:rPr>
            <w:noProof/>
            <w:webHidden/>
          </w:rPr>
          <w:instrText xml:space="preserve"> PAGEREF _Toc196226486 \h </w:instrText>
        </w:r>
        <w:r w:rsidR="00BB645A">
          <w:rPr>
            <w:noProof/>
            <w:webHidden/>
          </w:rPr>
        </w:r>
        <w:r w:rsidR="00BB645A">
          <w:rPr>
            <w:noProof/>
            <w:webHidden/>
          </w:rPr>
          <w:fldChar w:fldCharType="separate"/>
        </w:r>
        <w:r w:rsidR="002031F3">
          <w:rPr>
            <w:noProof/>
            <w:webHidden/>
          </w:rPr>
          <w:t>3</w:t>
        </w:r>
        <w:r w:rsidR="00BB645A">
          <w:rPr>
            <w:noProof/>
            <w:webHidden/>
          </w:rPr>
          <w:fldChar w:fldCharType="end"/>
        </w:r>
      </w:hyperlink>
    </w:p>
    <w:p w14:paraId="2A4774D0" w14:textId="3CEC3A2C"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rStyle w:val="Hyperlink"/>
          <w:noProof/>
        </w:rPr>
        <w:tab/>
      </w:r>
      <w:hyperlink w:anchor="_Toc196226487" w:history="1">
        <w:r w:rsidR="00BB645A" w:rsidRPr="00CE3131">
          <w:rPr>
            <w:rStyle w:val="Hyperlink"/>
            <w:noProof/>
          </w:rPr>
          <w:t>Has the charging authority complied with the legislative requirements set out in the Act and the Regulations, including undertaking an appropriate level of consultation?</w:t>
        </w:r>
        <w:r w:rsidR="00BB645A">
          <w:rPr>
            <w:noProof/>
            <w:webHidden/>
          </w:rPr>
          <w:tab/>
        </w:r>
        <w:r w:rsidR="00BB645A">
          <w:rPr>
            <w:noProof/>
            <w:webHidden/>
          </w:rPr>
          <w:fldChar w:fldCharType="begin"/>
        </w:r>
        <w:r w:rsidR="00BB645A">
          <w:rPr>
            <w:noProof/>
            <w:webHidden/>
          </w:rPr>
          <w:instrText xml:space="preserve"> PAGEREF _Toc196226487 \h </w:instrText>
        </w:r>
        <w:r w:rsidR="00BB645A">
          <w:rPr>
            <w:noProof/>
            <w:webHidden/>
          </w:rPr>
        </w:r>
        <w:r w:rsidR="00BB645A">
          <w:rPr>
            <w:noProof/>
            <w:webHidden/>
          </w:rPr>
          <w:fldChar w:fldCharType="separate"/>
        </w:r>
        <w:r w:rsidR="002031F3">
          <w:rPr>
            <w:noProof/>
            <w:webHidden/>
          </w:rPr>
          <w:t>5</w:t>
        </w:r>
        <w:r w:rsidR="00BB645A">
          <w:rPr>
            <w:noProof/>
            <w:webHidden/>
          </w:rPr>
          <w:fldChar w:fldCharType="end"/>
        </w:r>
      </w:hyperlink>
    </w:p>
    <w:p w14:paraId="125918D8" w14:textId="52597FCA"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rStyle w:val="Hyperlink"/>
          <w:noProof/>
        </w:rPr>
        <w:tab/>
      </w:r>
      <w:hyperlink w:anchor="_Toc196226488" w:history="1">
        <w:r w:rsidR="00BB645A" w:rsidRPr="00CE3131">
          <w:rPr>
            <w:rStyle w:val="Hyperlink"/>
            <w:noProof/>
            <w:lang w:val="en-US"/>
          </w:rPr>
          <w:t xml:space="preserve">Is the draft charging schedule supported by background documents containing appropriate </w:t>
        </w:r>
        <w:r w:rsidR="00BB645A" w:rsidRPr="00CE3131">
          <w:rPr>
            <w:rStyle w:val="Hyperlink"/>
            <w:noProof/>
            <w:lang w:val="fr-FR"/>
          </w:rPr>
          <w:t>available evidence?</w:t>
        </w:r>
        <w:r w:rsidR="00BB645A">
          <w:rPr>
            <w:noProof/>
            <w:webHidden/>
          </w:rPr>
          <w:tab/>
        </w:r>
        <w:r w:rsidR="00BB645A">
          <w:rPr>
            <w:noProof/>
            <w:webHidden/>
          </w:rPr>
          <w:fldChar w:fldCharType="begin"/>
        </w:r>
        <w:r w:rsidR="00BB645A">
          <w:rPr>
            <w:noProof/>
            <w:webHidden/>
          </w:rPr>
          <w:instrText xml:space="preserve"> PAGEREF _Toc196226488 \h </w:instrText>
        </w:r>
        <w:r w:rsidR="00BB645A">
          <w:rPr>
            <w:noProof/>
            <w:webHidden/>
          </w:rPr>
        </w:r>
        <w:r w:rsidR="00BB645A">
          <w:rPr>
            <w:noProof/>
            <w:webHidden/>
          </w:rPr>
          <w:fldChar w:fldCharType="separate"/>
        </w:r>
        <w:r w:rsidR="002031F3">
          <w:rPr>
            <w:noProof/>
            <w:webHidden/>
          </w:rPr>
          <w:t>5</w:t>
        </w:r>
        <w:r w:rsidR="00BB645A">
          <w:rPr>
            <w:noProof/>
            <w:webHidden/>
          </w:rPr>
          <w:fldChar w:fldCharType="end"/>
        </w:r>
      </w:hyperlink>
    </w:p>
    <w:p w14:paraId="7F1AE2AB" w14:textId="46E7697A" w:rsidR="00BB645A" w:rsidRDefault="003E407B" w:rsidP="00BB645A">
      <w:pPr>
        <w:pStyle w:val="TOC3"/>
        <w:tabs>
          <w:tab w:val="right" w:leader="dot" w:pos="9016"/>
        </w:tabs>
        <w:jc w:val="left"/>
        <w:rPr>
          <w:rFonts w:asciiTheme="minorHAnsi" w:eastAsiaTheme="minorEastAsia" w:hAnsiTheme="minorHAnsi" w:cstheme="minorBidi"/>
          <w:noProof/>
          <w:kern w:val="2"/>
          <w:sz w:val="24"/>
          <w:szCs w:val="24"/>
          <w14:ligatures w14:val="standardContextual"/>
        </w:rPr>
      </w:pPr>
      <w:hyperlink w:anchor="_Toc196226489" w:history="1">
        <w:r w:rsidR="00BB645A" w:rsidRPr="00CE3131">
          <w:rPr>
            <w:rStyle w:val="Hyperlink"/>
            <w:noProof/>
          </w:rPr>
          <w:t>Infrastructure Planning Evidence</w:t>
        </w:r>
        <w:r w:rsidR="00BB645A">
          <w:rPr>
            <w:noProof/>
            <w:webHidden/>
          </w:rPr>
          <w:tab/>
        </w:r>
        <w:r w:rsidR="00BB645A">
          <w:rPr>
            <w:noProof/>
            <w:webHidden/>
          </w:rPr>
          <w:fldChar w:fldCharType="begin"/>
        </w:r>
        <w:r w:rsidR="00BB645A">
          <w:rPr>
            <w:noProof/>
            <w:webHidden/>
          </w:rPr>
          <w:instrText xml:space="preserve"> PAGEREF _Toc196226489 \h </w:instrText>
        </w:r>
        <w:r w:rsidR="00BB645A">
          <w:rPr>
            <w:noProof/>
            <w:webHidden/>
          </w:rPr>
        </w:r>
        <w:r w:rsidR="00BB645A">
          <w:rPr>
            <w:noProof/>
            <w:webHidden/>
          </w:rPr>
          <w:fldChar w:fldCharType="separate"/>
        </w:r>
        <w:r w:rsidR="002031F3">
          <w:rPr>
            <w:noProof/>
            <w:webHidden/>
          </w:rPr>
          <w:t>5</w:t>
        </w:r>
        <w:r w:rsidR="00BB645A">
          <w:rPr>
            <w:noProof/>
            <w:webHidden/>
          </w:rPr>
          <w:fldChar w:fldCharType="end"/>
        </w:r>
      </w:hyperlink>
    </w:p>
    <w:p w14:paraId="4576AFE9" w14:textId="49225D02" w:rsidR="00BB645A" w:rsidRDefault="003E407B" w:rsidP="00BB645A">
      <w:pPr>
        <w:pStyle w:val="TOC3"/>
        <w:tabs>
          <w:tab w:val="right" w:leader="dot" w:pos="9016"/>
        </w:tabs>
        <w:jc w:val="left"/>
        <w:rPr>
          <w:rFonts w:asciiTheme="minorHAnsi" w:eastAsiaTheme="minorEastAsia" w:hAnsiTheme="minorHAnsi" w:cstheme="minorBidi"/>
          <w:noProof/>
          <w:kern w:val="2"/>
          <w:sz w:val="24"/>
          <w:szCs w:val="24"/>
          <w14:ligatures w14:val="standardContextual"/>
        </w:rPr>
      </w:pPr>
      <w:hyperlink w:anchor="_Toc196226490" w:history="1">
        <w:r w:rsidR="00BB645A" w:rsidRPr="00CE3131">
          <w:rPr>
            <w:rStyle w:val="Hyperlink"/>
            <w:noProof/>
          </w:rPr>
          <w:t>Economic Viability Evidence</w:t>
        </w:r>
        <w:r w:rsidR="00BB645A">
          <w:rPr>
            <w:noProof/>
            <w:webHidden/>
          </w:rPr>
          <w:tab/>
        </w:r>
        <w:r w:rsidR="00BB645A">
          <w:rPr>
            <w:noProof/>
            <w:webHidden/>
          </w:rPr>
          <w:fldChar w:fldCharType="begin"/>
        </w:r>
        <w:r w:rsidR="00BB645A">
          <w:rPr>
            <w:noProof/>
            <w:webHidden/>
          </w:rPr>
          <w:instrText xml:space="preserve"> PAGEREF _Toc196226490 \h </w:instrText>
        </w:r>
        <w:r w:rsidR="00BB645A">
          <w:rPr>
            <w:noProof/>
            <w:webHidden/>
          </w:rPr>
        </w:r>
        <w:r w:rsidR="00BB645A">
          <w:rPr>
            <w:noProof/>
            <w:webHidden/>
          </w:rPr>
          <w:fldChar w:fldCharType="separate"/>
        </w:r>
        <w:r w:rsidR="002031F3">
          <w:rPr>
            <w:noProof/>
            <w:webHidden/>
          </w:rPr>
          <w:t>5</w:t>
        </w:r>
        <w:r w:rsidR="00BB645A">
          <w:rPr>
            <w:noProof/>
            <w:webHidden/>
          </w:rPr>
          <w:fldChar w:fldCharType="end"/>
        </w:r>
      </w:hyperlink>
    </w:p>
    <w:p w14:paraId="754745CC" w14:textId="1C74D5D7"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rStyle w:val="Hyperlink"/>
          <w:noProof/>
        </w:rPr>
        <w:tab/>
      </w:r>
      <w:hyperlink w:anchor="_Toc196226491" w:history="1">
        <w:r w:rsidR="00BB645A" w:rsidRPr="00CE3131">
          <w:rPr>
            <w:rStyle w:val="Hyperlink"/>
            <w:noProof/>
          </w:rPr>
          <w:t>Are the proposed rates informed by and consistent with the evidence on viability across the charging authority’s area</w:t>
        </w:r>
        <w:r w:rsidR="00BB645A" w:rsidRPr="00CE3131">
          <w:rPr>
            <w:rStyle w:val="Hyperlink"/>
            <w:bCs/>
            <w:noProof/>
            <w:lang w:val="en-US"/>
          </w:rPr>
          <w:t>?</w:t>
        </w:r>
        <w:r w:rsidR="00BB645A">
          <w:rPr>
            <w:noProof/>
            <w:webHidden/>
          </w:rPr>
          <w:tab/>
        </w:r>
        <w:r w:rsidR="00BB645A">
          <w:rPr>
            <w:noProof/>
            <w:webHidden/>
          </w:rPr>
          <w:fldChar w:fldCharType="begin"/>
        </w:r>
        <w:r w:rsidR="00BB645A">
          <w:rPr>
            <w:noProof/>
            <w:webHidden/>
          </w:rPr>
          <w:instrText xml:space="preserve"> PAGEREF _Toc196226491 \h </w:instrText>
        </w:r>
        <w:r w:rsidR="00BB645A">
          <w:rPr>
            <w:noProof/>
            <w:webHidden/>
          </w:rPr>
        </w:r>
        <w:r w:rsidR="00BB645A">
          <w:rPr>
            <w:noProof/>
            <w:webHidden/>
          </w:rPr>
          <w:fldChar w:fldCharType="separate"/>
        </w:r>
        <w:r w:rsidR="002031F3">
          <w:rPr>
            <w:noProof/>
            <w:webHidden/>
          </w:rPr>
          <w:t>7</w:t>
        </w:r>
        <w:r w:rsidR="00BB645A">
          <w:rPr>
            <w:noProof/>
            <w:webHidden/>
          </w:rPr>
          <w:fldChar w:fldCharType="end"/>
        </w:r>
      </w:hyperlink>
    </w:p>
    <w:p w14:paraId="4A4DA03D" w14:textId="6A5558D5" w:rsidR="00BB645A" w:rsidRDefault="003E407B" w:rsidP="00BB645A">
      <w:pPr>
        <w:pStyle w:val="TOC3"/>
        <w:tabs>
          <w:tab w:val="right" w:leader="dot" w:pos="9016"/>
        </w:tabs>
        <w:jc w:val="left"/>
        <w:rPr>
          <w:rFonts w:asciiTheme="minorHAnsi" w:eastAsiaTheme="minorEastAsia" w:hAnsiTheme="minorHAnsi" w:cstheme="minorBidi"/>
          <w:noProof/>
          <w:kern w:val="2"/>
          <w:sz w:val="24"/>
          <w:szCs w:val="24"/>
          <w14:ligatures w14:val="standardContextual"/>
        </w:rPr>
      </w:pPr>
      <w:hyperlink w:anchor="_Toc196226492" w:history="1">
        <w:r w:rsidR="00BB645A" w:rsidRPr="00CE3131">
          <w:rPr>
            <w:rStyle w:val="Hyperlink"/>
            <w:noProof/>
          </w:rPr>
          <w:t>Commercial Rate</w:t>
        </w:r>
        <w:r w:rsidR="00BB645A">
          <w:rPr>
            <w:noProof/>
            <w:webHidden/>
          </w:rPr>
          <w:tab/>
        </w:r>
        <w:r w:rsidR="00BB645A">
          <w:rPr>
            <w:noProof/>
            <w:webHidden/>
          </w:rPr>
          <w:fldChar w:fldCharType="begin"/>
        </w:r>
        <w:r w:rsidR="00BB645A">
          <w:rPr>
            <w:noProof/>
            <w:webHidden/>
          </w:rPr>
          <w:instrText xml:space="preserve"> PAGEREF _Toc196226492 \h </w:instrText>
        </w:r>
        <w:r w:rsidR="00BB645A">
          <w:rPr>
            <w:noProof/>
            <w:webHidden/>
          </w:rPr>
        </w:r>
        <w:r w:rsidR="00BB645A">
          <w:rPr>
            <w:noProof/>
            <w:webHidden/>
          </w:rPr>
          <w:fldChar w:fldCharType="separate"/>
        </w:r>
        <w:r w:rsidR="002031F3">
          <w:rPr>
            <w:noProof/>
            <w:webHidden/>
          </w:rPr>
          <w:t>7</w:t>
        </w:r>
        <w:r w:rsidR="00BB645A">
          <w:rPr>
            <w:noProof/>
            <w:webHidden/>
          </w:rPr>
          <w:fldChar w:fldCharType="end"/>
        </w:r>
      </w:hyperlink>
    </w:p>
    <w:p w14:paraId="1F092B30" w14:textId="09971B19"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rStyle w:val="Hyperlink"/>
          <w:noProof/>
        </w:rPr>
        <w:tab/>
      </w:r>
      <w:hyperlink w:anchor="_Toc196226493" w:history="1">
        <w:r w:rsidR="00BB645A" w:rsidRPr="00CE3131">
          <w:rPr>
            <w:rStyle w:val="Hyperlink"/>
            <w:noProof/>
          </w:rPr>
          <w:t>Has evidence been provided that shows the proposed rate or rates would not undermine the deliverability of the plan (see National Planning Policy Framework paragraph 34</w:t>
        </w:r>
        <w:r>
          <w:rPr>
            <w:rStyle w:val="FootnoteReference"/>
            <w:noProof/>
            <w:color w:val="2B8FA1"/>
          </w:rPr>
          <w:footnoteReference w:id="1"/>
        </w:r>
        <w:r w:rsidR="00BB645A" w:rsidRPr="00CE3131">
          <w:rPr>
            <w:rStyle w:val="Hyperlink"/>
            <w:noProof/>
          </w:rPr>
          <w:t>)</w:t>
        </w:r>
        <w:r>
          <w:rPr>
            <w:rStyle w:val="Hyperlink"/>
            <w:noProof/>
          </w:rPr>
          <w:t>?</w:t>
        </w:r>
        <w:r w:rsidR="00BB645A" w:rsidRPr="00CE3131">
          <w:rPr>
            <w:rStyle w:val="Hyperlink"/>
            <w:noProof/>
          </w:rPr>
          <w:t>.</w:t>
        </w:r>
        <w:r w:rsidR="00BB645A">
          <w:rPr>
            <w:noProof/>
            <w:webHidden/>
          </w:rPr>
          <w:tab/>
        </w:r>
        <w:r w:rsidR="00BB645A">
          <w:rPr>
            <w:noProof/>
            <w:webHidden/>
          </w:rPr>
          <w:fldChar w:fldCharType="begin"/>
        </w:r>
        <w:r w:rsidR="00BB645A">
          <w:rPr>
            <w:noProof/>
            <w:webHidden/>
          </w:rPr>
          <w:instrText xml:space="preserve"> PAGEREF _Toc196226493 \h </w:instrText>
        </w:r>
        <w:r w:rsidR="00BB645A">
          <w:rPr>
            <w:noProof/>
            <w:webHidden/>
          </w:rPr>
        </w:r>
        <w:r w:rsidR="00BB645A">
          <w:rPr>
            <w:noProof/>
            <w:webHidden/>
          </w:rPr>
          <w:fldChar w:fldCharType="separate"/>
        </w:r>
        <w:r w:rsidR="002031F3">
          <w:rPr>
            <w:noProof/>
            <w:webHidden/>
          </w:rPr>
          <w:t>7</w:t>
        </w:r>
        <w:r w:rsidR="00BB645A">
          <w:rPr>
            <w:noProof/>
            <w:webHidden/>
          </w:rPr>
          <w:fldChar w:fldCharType="end"/>
        </w:r>
      </w:hyperlink>
    </w:p>
    <w:p w14:paraId="3DCAA0E9" w14:textId="7745ECD9" w:rsidR="00BB645A" w:rsidRDefault="00520C7C" w:rsidP="00BB645A">
      <w:pPr>
        <w:pStyle w:val="TOC2"/>
        <w:rPr>
          <w:rFonts w:asciiTheme="minorHAnsi" w:eastAsiaTheme="minorEastAsia" w:hAnsiTheme="minorHAnsi" w:cstheme="minorBidi"/>
          <w:noProof/>
          <w:kern w:val="2"/>
          <w:sz w:val="24"/>
          <w:szCs w:val="24"/>
          <w14:ligatures w14:val="standardContextual"/>
        </w:rPr>
      </w:pPr>
      <w:r>
        <w:rPr>
          <w:rStyle w:val="Hyperlink"/>
          <w:noProof/>
        </w:rPr>
        <w:tab/>
      </w:r>
      <w:hyperlink w:anchor="_Toc196226494" w:history="1">
        <w:r w:rsidR="00BB645A" w:rsidRPr="00CE3131">
          <w:rPr>
            <w:rStyle w:val="Hyperlink"/>
            <w:noProof/>
            <w:lang w:val="en-US"/>
          </w:rPr>
          <w:t>Overall Conclusion</w:t>
        </w:r>
        <w:r w:rsidR="00BB645A">
          <w:rPr>
            <w:noProof/>
            <w:webHidden/>
          </w:rPr>
          <w:tab/>
        </w:r>
        <w:r w:rsidR="00BB645A">
          <w:rPr>
            <w:noProof/>
            <w:webHidden/>
          </w:rPr>
          <w:fldChar w:fldCharType="begin"/>
        </w:r>
        <w:r w:rsidR="00BB645A">
          <w:rPr>
            <w:noProof/>
            <w:webHidden/>
          </w:rPr>
          <w:instrText xml:space="preserve"> PAGEREF _Toc196226494 \h </w:instrText>
        </w:r>
        <w:r w:rsidR="00BB645A">
          <w:rPr>
            <w:noProof/>
            <w:webHidden/>
          </w:rPr>
        </w:r>
        <w:r w:rsidR="00BB645A">
          <w:rPr>
            <w:noProof/>
            <w:webHidden/>
          </w:rPr>
          <w:fldChar w:fldCharType="separate"/>
        </w:r>
        <w:r w:rsidR="002031F3">
          <w:rPr>
            <w:noProof/>
            <w:webHidden/>
          </w:rPr>
          <w:t>10</w:t>
        </w:r>
        <w:r w:rsidR="00BB645A">
          <w:rPr>
            <w:noProof/>
            <w:webHidden/>
          </w:rPr>
          <w:fldChar w:fldCharType="end"/>
        </w:r>
      </w:hyperlink>
    </w:p>
    <w:p w14:paraId="2A56CF24" w14:textId="218BE7A2" w:rsidR="00BB645A" w:rsidRPr="00BB645A" w:rsidRDefault="00BB645A" w:rsidP="004E364F">
      <w:pPr>
        <w:ind w:left="0" w:firstLine="0"/>
        <w:jc w:val="left"/>
        <w:rPr>
          <w:b/>
          <w:color w:val="002060"/>
          <w:sz w:val="26"/>
          <w:szCs w:val="26"/>
        </w:rPr>
      </w:pPr>
      <w:r>
        <w:rPr>
          <w:b/>
          <w:color w:val="002060"/>
          <w:sz w:val="26"/>
          <w:szCs w:val="26"/>
        </w:rPr>
        <w:fldChar w:fldCharType="end"/>
      </w:r>
    </w:p>
    <w:p w14:paraId="71772E22" w14:textId="77777777" w:rsidR="00262021" w:rsidRDefault="00262021" w:rsidP="00F82C24">
      <w:pPr>
        <w:spacing w:after="160" w:line="259" w:lineRule="auto"/>
        <w:ind w:left="0" w:firstLine="0"/>
        <w:jc w:val="right"/>
      </w:pPr>
    </w:p>
    <w:p w14:paraId="0431C0B2" w14:textId="77777777" w:rsidR="00262021" w:rsidRDefault="00262021" w:rsidP="00F82C24">
      <w:pPr>
        <w:spacing w:after="160" w:line="259" w:lineRule="auto"/>
        <w:ind w:left="0" w:firstLine="0"/>
        <w:jc w:val="right"/>
      </w:pPr>
    </w:p>
    <w:p w14:paraId="64B98A08" w14:textId="77777777" w:rsidR="00520C7C" w:rsidRDefault="00520C7C">
      <w:bookmarkStart w:id="1" w:name="_Toc196226485"/>
      <w:r>
        <w:br w:type="page"/>
      </w:r>
    </w:p>
    <w:tbl>
      <w:tblPr>
        <w:tblStyle w:val="TableGrid"/>
        <w:tblW w:w="0" w:type="auto"/>
        <w:tblLook w:val="04A0" w:firstRow="1" w:lastRow="0" w:firstColumn="1" w:lastColumn="0" w:noHBand="0" w:noVBand="1"/>
      </w:tblPr>
      <w:tblGrid>
        <w:gridCol w:w="9016"/>
      </w:tblGrid>
      <w:tr w:rsidR="005410D3" w14:paraId="3C1C8CD1" w14:textId="77777777" w:rsidTr="0041287B">
        <w:tc>
          <w:tcPr>
            <w:tcW w:w="9016" w:type="dxa"/>
            <w:shd w:val="clear" w:color="auto" w:fill="F2F2F2" w:themeFill="background1" w:themeFillShade="F2"/>
          </w:tcPr>
          <w:p w14:paraId="7B70AEBD" w14:textId="3CF14D77" w:rsidR="005410D3" w:rsidRPr="00A76FB2" w:rsidRDefault="00582BD2" w:rsidP="00520C7C">
            <w:pPr>
              <w:pStyle w:val="Heading2"/>
              <w:tabs>
                <w:tab w:val="left" w:pos="310"/>
                <w:tab w:val="center" w:pos="4400"/>
              </w:tabs>
              <w:spacing w:before="120"/>
              <w:jc w:val="center"/>
              <w:outlineLvl w:val="1"/>
              <w:rPr>
                <w:rFonts w:eastAsia="Verdana" w:cs="Verdana"/>
              </w:rPr>
            </w:pPr>
            <w:r w:rsidRPr="00A76FB2">
              <w:rPr>
                <w:b/>
                <w:lang w:val="en-US"/>
              </w:rPr>
              <w:lastRenderedPageBreak/>
              <w:t>Main Findings</w:t>
            </w:r>
            <w:r w:rsidRPr="00A76FB2">
              <w:rPr>
                <w:lang w:val="en-US"/>
              </w:rPr>
              <w:t xml:space="preserve"> - </w:t>
            </w:r>
            <w:r w:rsidR="005410D3" w:rsidRPr="00A76FB2">
              <w:rPr>
                <w:lang w:val="en-US"/>
              </w:rPr>
              <w:t>Executive Summary</w:t>
            </w:r>
            <w:bookmarkEnd w:id="1"/>
          </w:p>
          <w:p w14:paraId="2CEC874A" w14:textId="77777777" w:rsidR="005410D3" w:rsidRPr="00A76FB2" w:rsidRDefault="005410D3" w:rsidP="005410D3">
            <w:pPr>
              <w:pStyle w:val="Default"/>
              <w:rPr>
                <w:rFonts w:ascii="Verdana" w:eastAsia="Verdana" w:hAnsi="Verdana" w:cs="Verdana"/>
                <w:sz w:val="22"/>
                <w:szCs w:val="22"/>
              </w:rPr>
            </w:pPr>
          </w:p>
          <w:p w14:paraId="090EFAD4" w14:textId="5F9E299E" w:rsidR="005410D3" w:rsidRPr="00A76FB2" w:rsidRDefault="00582BD2" w:rsidP="005410D3">
            <w:pPr>
              <w:pStyle w:val="Default"/>
              <w:rPr>
                <w:rFonts w:ascii="Verdana" w:hAnsi="Verdana"/>
                <w:sz w:val="22"/>
                <w:szCs w:val="22"/>
                <w:lang w:val="en-US"/>
              </w:rPr>
            </w:pPr>
            <w:r w:rsidRPr="00A76FB2">
              <w:rPr>
                <w:rFonts w:ascii="Verdana" w:hAnsi="Verdana"/>
                <w:sz w:val="22"/>
                <w:szCs w:val="22"/>
                <w:lang w:val="en-US"/>
              </w:rPr>
              <w:t xml:space="preserve">In this </w:t>
            </w:r>
            <w:r w:rsidR="005410D3" w:rsidRPr="00A76FB2">
              <w:rPr>
                <w:rFonts w:ascii="Verdana" w:hAnsi="Verdana"/>
                <w:sz w:val="22"/>
                <w:szCs w:val="22"/>
                <w:lang w:val="en-US"/>
              </w:rPr>
              <w:t xml:space="preserve">report </w:t>
            </w:r>
            <w:r w:rsidRPr="00A76FB2">
              <w:rPr>
                <w:rFonts w:ascii="Verdana" w:hAnsi="Verdana"/>
                <w:sz w:val="22"/>
                <w:szCs w:val="22"/>
                <w:lang w:val="en-US"/>
              </w:rPr>
              <w:t xml:space="preserve">I have </w:t>
            </w:r>
            <w:r w:rsidR="005410D3" w:rsidRPr="00A76FB2">
              <w:rPr>
                <w:rFonts w:ascii="Verdana" w:hAnsi="Verdana"/>
                <w:sz w:val="22"/>
                <w:szCs w:val="22"/>
                <w:lang w:val="en-US"/>
              </w:rPr>
              <w:t>conclude</w:t>
            </w:r>
            <w:r w:rsidRPr="00A76FB2">
              <w:rPr>
                <w:rFonts w:ascii="Verdana" w:hAnsi="Verdana"/>
                <w:sz w:val="22"/>
                <w:szCs w:val="22"/>
                <w:lang w:val="en-US"/>
              </w:rPr>
              <w:t>d</w:t>
            </w:r>
            <w:r w:rsidR="005410D3" w:rsidRPr="00A76FB2">
              <w:rPr>
                <w:rFonts w:ascii="Verdana" w:hAnsi="Verdana"/>
                <w:sz w:val="22"/>
                <w:szCs w:val="22"/>
                <w:lang w:val="en-US"/>
              </w:rPr>
              <w:t xml:space="preserve"> that the </w:t>
            </w:r>
            <w:r w:rsidR="00546841">
              <w:rPr>
                <w:rFonts w:ascii="Verdana" w:hAnsi="Verdana"/>
                <w:sz w:val="22"/>
                <w:szCs w:val="22"/>
                <w:lang w:val="en-US"/>
              </w:rPr>
              <w:t xml:space="preserve">draft </w:t>
            </w:r>
            <w:r w:rsidR="00AA6735">
              <w:rPr>
                <w:rFonts w:ascii="Verdana" w:hAnsi="Verdana"/>
                <w:sz w:val="22"/>
                <w:szCs w:val="22"/>
                <w:lang w:val="en-US"/>
              </w:rPr>
              <w:t>Oxford City Council</w:t>
            </w:r>
            <w:r w:rsidR="005410D3" w:rsidRPr="00A76FB2">
              <w:rPr>
                <w:rFonts w:ascii="Verdana" w:hAnsi="Verdana"/>
                <w:sz w:val="22"/>
                <w:szCs w:val="22"/>
                <w:lang w:val="en-US"/>
              </w:rPr>
              <w:t xml:space="preserve"> Community Infrastructure Levy Charging Schedule provides an appropriate basis for the collection of the levy in the </w:t>
            </w:r>
            <w:r w:rsidRPr="00A76FB2">
              <w:rPr>
                <w:rFonts w:ascii="Verdana" w:hAnsi="Verdana"/>
                <w:sz w:val="22"/>
                <w:szCs w:val="22"/>
                <w:lang w:val="en-US"/>
              </w:rPr>
              <w:t>area.</w:t>
            </w:r>
            <w:r w:rsidR="005410D3" w:rsidRPr="00A76FB2">
              <w:rPr>
                <w:rFonts w:ascii="Verdana" w:hAnsi="Verdana"/>
                <w:sz w:val="22"/>
                <w:szCs w:val="22"/>
                <w:lang w:val="en-US"/>
              </w:rPr>
              <w:t xml:space="preserve"> </w:t>
            </w:r>
          </w:p>
          <w:p w14:paraId="1EB93B6F" w14:textId="77777777" w:rsidR="005410D3" w:rsidRPr="00A76FB2" w:rsidRDefault="005410D3" w:rsidP="005410D3">
            <w:pPr>
              <w:pStyle w:val="Default"/>
              <w:rPr>
                <w:rFonts w:ascii="Verdana" w:hAnsi="Verdana"/>
                <w:sz w:val="22"/>
                <w:szCs w:val="22"/>
                <w:lang w:val="en-US"/>
              </w:rPr>
            </w:pPr>
          </w:p>
          <w:p w14:paraId="69D2192C" w14:textId="4CD40479" w:rsidR="00AC3ABB" w:rsidRPr="0041287B" w:rsidRDefault="005410D3" w:rsidP="0041287B">
            <w:pPr>
              <w:pStyle w:val="Default"/>
              <w:spacing w:after="120"/>
              <w:rPr>
                <w:rFonts w:ascii="Verdana" w:hAnsi="Verdana"/>
                <w:color w:val="auto"/>
                <w:sz w:val="22"/>
                <w:szCs w:val="22"/>
                <w:lang w:val="en-US"/>
              </w:rPr>
            </w:pPr>
            <w:r w:rsidRPr="00A76FB2">
              <w:rPr>
                <w:rFonts w:ascii="Verdana" w:hAnsi="Verdana"/>
                <w:sz w:val="22"/>
                <w:szCs w:val="22"/>
                <w:lang w:val="en-US"/>
              </w:rPr>
              <w:t xml:space="preserve">The Council has </w:t>
            </w:r>
            <w:r w:rsidR="00582BD2" w:rsidRPr="00A76FB2">
              <w:rPr>
                <w:rFonts w:ascii="Verdana" w:hAnsi="Verdana"/>
                <w:sz w:val="22"/>
                <w:szCs w:val="22"/>
                <w:lang w:val="en-US"/>
              </w:rPr>
              <w:t xml:space="preserve">provided </w:t>
            </w:r>
            <w:r w:rsidRPr="00A76FB2">
              <w:rPr>
                <w:rFonts w:ascii="Verdana" w:hAnsi="Verdana"/>
                <w:sz w:val="22"/>
                <w:szCs w:val="22"/>
                <w:lang w:val="en-US"/>
              </w:rPr>
              <w:t xml:space="preserve">sufficient </w:t>
            </w:r>
            <w:r w:rsidR="00582BD2" w:rsidRPr="005F275D">
              <w:rPr>
                <w:rFonts w:ascii="Verdana" w:hAnsi="Verdana" w:cs="Helvetica"/>
                <w:color w:val="auto"/>
                <w:sz w:val="22"/>
                <w:szCs w:val="22"/>
              </w:rPr>
              <w:t xml:space="preserve">evidence that shows the proposed rate would not threaten delivery of </w:t>
            </w:r>
            <w:r w:rsidR="00235481">
              <w:rPr>
                <w:rFonts w:ascii="Verdana" w:hAnsi="Verdana" w:cs="Helvetica"/>
                <w:color w:val="auto"/>
                <w:sz w:val="22"/>
                <w:szCs w:val="22"/>
              </w:rPr>
              <w:t>O</w:t>
            </w:r>
            <w:r w:rsidR="00EE3CDC">
              <w:rPr>
                <w:rFonts w:ascii="Verdana" w:hAnsi="Verdana" w:cs="Helvetica"/>
                <w:color w:val="auto"/>
                <w:sz w:val="22"/>
                <w:szCs w:val="22"/>
              </w:rPr>
              <w:t xml:space="preserve">ffice and </w:t>
            </w:r>
            <w:r w:rsidR="00235481">
              <w:rPr>
                <w:rFonts w:ascii="Verdana" w:hAnsi="Verdana" w:cs="Helvetica"/>
                <w:color w:val="auto"/>
                <w:sz w:val="22"/>
                <w:szCs w:val="22"/>
              </w:rPr>
              <w:t>R</w:t>
            </w:r>
            <w:r w:rsidR="00EE3CDC">
              <w:rPr>
                <w:rFonts w:ascii="Verdana" w:hAnsi="Verdana" w:cs="Helvetica"/>
                <w:color w:val="auto"/>
                <w:sz w:val="22"/>
                <w:szCs w:val="22"/>
              </w:rPr>
              <w:t xml:space="preserve">esearch </w:t>
            </w:r>
            <w:r w:rsidR="00235481">
              <w:rPr>
                <w:rFonts w:ascii="Verdana" w:hAnsi="Verdana" w:cs="Helvetica"/>
                <w:color w:val="auto"/>
                <w:sz w:val="22"/>
                <w:szCs w:val="22"/>
              </w:rPr>
              <w:t>&amp; D</w:t>
            </w:r>
            <w:r w:rsidR="00EE3CDC">
              <w:rPr>
                <w:rFonts w:ascii="Verdana" w:hAnsi="Verdana" w:cs="Helvetica"/>
                <w:color w:val="auto"/>
                <w:sz w:val="22"/>
                <w:szCs w:val="22"/>
              </w:rPr>
              <w:t>evelopment business in Oxford</w:t>
            </w:r>
            <w:r w:rsidR="0041287B">
              <w:rPr>
                <w:rFonts w:ascii="Verdana" w:hAnsi="Verdana"/>
                <w:color w:val="auto"/>
                <w:sz w:val="22"/>
                <w:szCs w:val="22"/>
              </w:rPr>
              <w:t>.</w:t>
            </w:r>
          </w:p>
        </w:tc>
      </w:tr>
    </w:tbl>
    <w:p w14:paraId="6CD42009" w14:textId="77777777" w:rsidR="00A76FB2" w:rsidRDefault="00A76FB2" w:rsidP="0041287B">
      <w:pPr>
        <w:pStyle w:val="Default"/>
        <w:spacing w:after="120"/>
        <w:rPr>
          <w:rFonts w:ascii="Verdana" w:hAnsi="Verdana"/>
          <w:b/>
          <w:bCs/>
          <w:lang w:val="fr-FR"/>
        </w:rPr>
      </w:pPr>
    </w:p>
    <w:p w14:paraId="761987B2" w14:textId="1DA56303" w:rsidR="005410D3" w:rsidRPr="008A3134" w:rsidRDefault="005410D3" w:rsidP="008A3134">
      <w:pPr>
        <w:pStyle w:val="Heading2"/>
      </w:pPr>
      <w:bookmarkStart w:id="2" w:name="_Toc196226486"/>
      <w:r w:rsidRPr="008A3134">
        <w:t>Introduction</w:t>
      </w:r>
      <w:bookmarkEnd w:id="2"/>
    </w:p>
    <w:p w14:paraId="4C77C08F" w14:textId="77777777" w:rsidR="005410D3" w:rsidRPr="00AC3ABB" w:rsidRDefault="005410D3" w:rsidP="005410D3">
      <w:pPr>
        <w:pStyle w:val="Default"/>
        <w:rPr>
          <w:rFonts w:ascii="Verdana" w:eastAsia="Verdana" w:hAnsi="Verdana" w:cs="Verdana"/>
          <w:sz w:val="22"/>
          <w:szCs w:val="22"/>
        </w:rPr>
      </w:pPr>
    </w:p>
    <w:p w14:paraId="744F6D6D" w14:textId="5DB9084D" w:rsidR="004003BB" w:rsidRPr="004003BB" w:rsidRDefault="004003BB" w:rsidP="00EF0EB2">
      <w:pPr>
        <w:pStyle w:val="ListParagraph"/>
        <w:numPr>
          <w:ilvl w:val="0"/>
          <w:numId w:val="36"/>
        </w:numPr>
        <w:pBdr>
          <w:top w:val="nil"/>
          <w:left w:val="nil"/>
          <w:bottom w:val="nil"/>
          <w:right w:val="nil"/>
          <w:between w:val="nil"/>
          <w:bar w:val="nil"/>
        </w:pBdr>
        <w:jc w:val="left"/>
        <w:rPr>
          <w:rFonts w:eastAsia="Verdana" w:cs="Verdana"/>
          <w:szCs w:val="22"/>
        </w:rPr>
      </w:pPr>
      <w:r>
        <w:rPr>
          <w:lang w:eastAsia="en-US"/>
        </w:rPr>
        <w:t xml:space="preserve">I have been appointed by </w:t>
      </w:r>
      <w:r w:rsidR="00272070">
        <w:rPr>
          <w:lang w:eastAsia="en-US"/>
        </w:rPr>
        <w:t>Oxford City</w:t>
      </w:r>
      <w:r>
        <w:rPr>
          <w:lang w:eastAsia="en-US"/>
        </w:rPr>
        <w:t xml:space="preserve"> Council</w:t>
      </w:r>
      <w:r w:rsidR="00EB312D">
        <w:rPr>
          <w:lang w:eastAsia="en-US"/>
        </w:rPr>
        <w:t xml:space="preserve">, </w:t>
      </w:r>
      <w:r>
        <w:rPr>
          <w:lang w:eastAsia="en-US"/>
        </w:rPr>
        <w:t>the charging authority</w:t>
      </w:r>
      <w:r w:rsidR="00EB312D">
        <w:rPr>
          <w:lang w:eastAsia="en-US"/>
        </w:rPr>
        <w:t>,</w:t>
      </w:r>
      <w:r>
        <w:rPr>
          <w:lang w:eastAsia="en-US"/>
        </w:rPr>
        <w:t xml:space="preserve"> to examine the </w:t>
      </w:r>
      <w:r w:rsidR="00CD537B">
        <w:rPr>
          <w:lang w:eastAsia="en-US"/>
        </w:rPr>
        <w:t xml:space="preserve">draft </w:t>
      </w:r>
      <w:r w:rsidR="00272070">
        <w:rPr>
          <w:lang w:eastAsia="en-US"/>
        </w:rPr>
        <w:t xml:space="preserve">Oxford </w:t>
      </w:r>
      <w:r w:rsidRPr="004003BB">
        <w:rPr>
          <w:szCs w:val="22"/>
          <w:lang w:val="en-US"/>
        </w:rPr>
        <w:t>Community Infrastructure Levy (CIL) Charging Schedule</w:t>
      </w:r>
      <w:r>
        <w:rPr>
          <w:szCs w:val="22"/>
          <w:lang w:val="en-US"/>
        </w:rPr>
        <w:t>.</w:t>
      </w:r>
      <w:r>
        <w:rPr>
          <w:lang w:eastAsia="en-US"/>
        </w:rPr>
        <w:t xml:space="preserve">  I am a chartered town planner with more than </w:t>
      </w:r>
      <w:r w:rsidR="00AA6735">
        <w:rPr>
          <w:lang w:eastAsia="en-US"/>
        </w:rPr>
        <w:t xml:space="preserve">25 </w:t>
      </w:r>
      <w:r>
        <w:rPr>
          <w:lang w:eastAsia="en-US"/>
        </w:rPr>
        <w:t>years</w:t>
      </w:r>
      <w:r w:rsidR="00AA6735">
        <w:rPr>
          <w:lang w:eastAsia="en-US"/>
        </w:rPr>
        <w:t>’</w:t>
      </w:r>
      <w:r>
        <w:rPr>
          <w:lang w:eastAsia="en-US"/>
        </w:rPr>
        <w:t xml:space="preserve"> experience inspecting and examining </w:t>
      </w:r>
      <w:r w:rsidR="00C55FE1">
        <w:rPr>
          <w:lang w:eastAsia="en-US"/>
        </w:rPr>
        <w:t>D</w:t>
      </w:r>
      <w:r>
        <w:rPr>
          <w:lang w:eastAsia="en-US"/>
        </w:rPr>
        <w:t xml:space="preserve">evelopment </w:t>
      </w:r>
      <w:r w:rsidR="00C55FE1">
        <w:rPr>
          <w:lang w:eastAsia="en-US"/>
        </w:rPr>
        <w:t>P</w:t>
      </w:r>
      <w:r>
        <w:rPr>
          <w:lang w:eastAsia="en-US"/>
        </w:rPr>
        <w:t xml:space="preserve">lans and CIL Charging Schedules as a Government Planning Inspector.  </w:t>
      </w:r>
    </w:p>
    <w:p w14:paraId="1CF873D7" w14:textId="77777777" w:rsidR="004003BB" w:rsidRPr="004003BB" w:rsidRDefault="004003BB" w:rsidP="004003BB">
      <w:pPr>
        <w:pStyle w:val="Default"/>
        <w:pBdr>
          <w:top w:val="nil"/>
          <w:left w:val="nil"/>
          <w:bottom w:val="nil"/>
          <w:right w:val="nil"/>
          <w:between w:val="nil"/>
          <w:bar w:val="nil"/>
        </w:pBdr>
        <w:autoSpaceDE/>
        <w:autoSpaceDN/>
        <w:adjustRightInd/>
        <w:ind w:left="393"/>
        <w:rPr>
          <w:rFonts w:ascii="Verdana" w:eastAsia="Verdana" w:hAnsi="Verdana" w:cs="Verdana"/>
          <w:sz w:val="22"/>
          <w:szCs w:val="22"/>
        </w:rPr>
      </w:pPr>
    </w:p>
    <w:p w14:paraId="29230265" w14:textId="27AB065A" w:rsidR="005410D3" w:rsidRPr="00AC1AC0" w:rsidRDefault="005410D3" w:rsidP="00C86FF3">
      <w:pPr>
        <w:pStyle w:val="Default"/>
        <w:numPr>
          <w:ilvl w:val="0"/>
          <w:numId w:val="36"/>
        </w:numPr>
        <w:pBdr>
          <w:top w:val="nil"/>
          <w:left w:val="nil"/>
          <w:bottom w:val="nil"/>
          <w:right w:val="nil"/>
          <w:between w:val="nil"/>
          <w:bar w:val="nil"/>
        </w:pBdr>
        <w:autoSpaceDE/>
        <w:autoSpaceDN/>
        <w:adjustRightInd/>
        <w:rPr>
          <w:rFonts w:ascii="Verdana" w:eastAsia="Verdana" w:hAnsi="Verdana" w:cs="Verdana"/>
          <w:sz w:val="22"/>
          <w:szCs w:val="22"/>
        </w:rPr>
      </w:pPr>
      <w:r w:rsidRPr="00AC3ABB">
        <w:rPr>
          <w:rFonts w:ascii="Verdana" w:hAnsi="Verdana"/>
          <w:sz w:val="22"/>
          <w:szCs w:val="22"/>
          <w:lang w:val="en-US"/>
        </w:rPr>
        <w:t xml:space="preserve">This report contains my assessment of the Charging </w:t>
      </w:r>
      <w:r w:rsidRPr="00AC3ABB">
        <w:rPr>
          <w:rFonts w:ascii="Verdana" w:hAnsi="Verdana"/>
          <w:color w:val="auto"/>
          <w:sz w:val="22"/>
          <w:szCs w:val="22"/>
          <w:lang w:val="en-US"/>
        </w:rPr>
        <w:t xml:space="preserve">Schedule </w:t>
      </w:r>
      <w:r w:rsidR="007303B6" w:rsidRPr="00AC3ABB">
        <w:rPr>
          <w:rFonts w:ascii="Verdana" w:hAnsi="Verdana" w:cs="Helvetica"/>
          <w:color w:val="auto"/>
          <w:sz w:val="22"/>
          <w:szCs w:val="22"/>
        </w:rPr>
        <w:t xml:space="preserve">in terms of compliance with the requirements in </w:t>
      </w:r>
      <w:r w:rsidR="003962D9" w:rsidRPr="00AC3ABB">
        <w:rPr>
          <w:rFonts w:ascii="Verdana" w:hAnsi="Verdana" w:cs="Helvetica"/>
          <w:color w:val="auto"/>
          <w:sz w:val="22"/>
          <w:szCs w:val="22"/>
        </w:rPr>
        <w:t xml:space="preserve">Part 11 of </w:t>
      </w:r>
      <w:r w:rsidR="007303B6" w:rsidRPr="00AC3ABB">
        <w:rPr>
          <w:rFonts w:ascii="Verdana" w:hAnsi="Verdana" w:cs="Helvetica"/>
          <w:color w:val="auto"/>
          <w:sz w:val="22"/>
          <w:szCs w:val="22"/>
        </w:rPr>
        <w:t xml:space="preserve">the Planning Act 2008 </w:t>
      </w:r>
      <w:r w:rsidR="00A66B0D">
        <w:rPr>
          <w:rFonts w:ascii="Verdana" w:hAnsi="Verdana" w:cs="Helvetica"/>
          <w:color w:val="auto"/>
          <w:sz w:val="22"/>
          <w:szCs w:val="22"/>
        </w:rPr>
        <w:t xml:space="preserve">as amended </w:t>
      </w:r>
      <w:r w:rsidR="00A01B1C">
        <w:rPr>
          <w:rFonts w:ascii="Verdana" w:hAnsi="Verdana" w:cs="Helvetica"/>
          <w:color w:val="auto"/>
          <w:sz w:val="22"/>
          <w:szCs w:val="22"/>
        </w:rPr>
        <w:t xml:space="preserve">(‘the Act’) </w:t>
      </w:r>
      <w:r w:rsidR="007303B6" w:rsidRPr="00AC3ABB">
        <w:rPr>
          <w:rFonts w:ascii="Verdana" w:hAnsi="Verdana" w:cs="Helvetica"/>
          <w:color w:val="auto"/>
          <w:sz w:val="22"/>
          <w:szCs w:val="22"/>
        </w:rPr>
        <w:t xml:space="preserve">and </w:t>
      </w:r>
      <w:r w:rsidR="00EA269D" w:rsidRPr="00AC3ABB">
        <w:rPr>
          <w:rFonts w:ascii="Verdana" w:hAnsi="Verdana" w:cs="Helvetica"/>
          <w:color w:val="auto"/>
          <w:sz w:val="22"/>
          <w:szCs w:val="22"/>
        </w:rPr>
        <w:t xml:space="preserve">the </w:t>
      </w:r>
      <w:r w:rsidR="007303B6" w:rsidRPr="00AC3ABB">
        <w:rPr>
          <w:rFonts w:ascii="Verdana" w:hAnsi="Verdana" w:cs="Helvetica"/>
          <w:color w:val="auto"/>
          <w:sz w:val="22"/>
          <w:szCs w:val="22"/>
        </w:rPr>
        <w:t xml:space="preserve">Community </w:t>
      </w:r>
      <w:r w:rsidR="00FA06A0" w:rsidRPr="00AC3ABB">
        <w:rPr>
          <w:rFonts w:ascii="Verdana" w:hAnsi="Verdana" w:cs="Helvetica"/>
          <w:color w:val="auto"/>
          <w:sz w:val="22"/>
          <w:szCs w:val="22"/>
        </w:rPr>
        <w:t>Infrastructure</w:t>
      </w:r>
      <w:r w:rsidR="007303B6" w:rsidRPr="00AC3ABB">
        <w:rPr>
          <w:rFonts w:ascii="Verdana" w:hAnsi="Verdana" w:cs="Helvetica"/>
          <w:color w:val="auto"/>
          <w:sz w:val="22"/>
          <w:szCs w:val="22"/>
        </w:rPr>
        <w:t xml:space="preserve"> Re</w:t>
      </w:r>
      <w:r w:rsidR="00333A9D" w:rsidRPr="00AC3ABB">
        <w:rPr>
          <w:rFonts w:ascii="Verdana" w:hAnsi="Verdana" w:cs="Helvetica"/>
          <w:color w:val="auto"/>
          <w:sz w:val="22"/>
          <w:szCs w:val="22"/>
        </w:rPr>
        <w:t xml:space="preserve">gulations </w:t>
      </w:r>
      <w:r w:rsidR="007303B6" w:rsidRPr="00AC3ABB">
        <w:rPr>
          <w:rFonts w:ascii="Verdana" w:hAnsi="Verdana" w:cs="Helvetica"/>
          <w:color w:val="auto"/>
          <w:sz w:val="22"/>
          <w:szCs w:val="22"/>
        </w:rPr>
        <w:t>2010</w:t>
      </w:r>
      <w:r w:rsidR="00A01B1C">
        <w:rPr>
          <w:rFonts w:ascii="Verdana" w:hAnsi="Verdana" w:cs="Helvetica"/>
          <w:color w:val="auto"/>
          <w:sz w:val="22"/>
          <w:szCs w:val="22"/>
        </w:rPr>
        <w:t xml:space="preserve"> </w:t>
      </w:r>
      <w:r w:rsidR="00A66B0D">
        <w:rPr>
          <w:rFonts w:ascii="Verdana" w:hAnsi="Verdana" w:cs="Helvetica"/>
          <w:color w:val="auto"/>
          <w:sz w:val="22"/>
          <w:szCs w:val="22"/>
        </w:rPr>
        <w:t xml:space="preserve">as amended </w:t>
      </w:r>
      <w:r w:rsidR="00A01B1C">
        <w:rPr>
          <w:rFonts w:ascii="Verdana" w:hAnsi="Verdana" w:cs="Helvetica"/>
          <w:color w:val="auto"/>
          <w:sz w:val="22"/>
          <w:szCs w:val="22"/>
        </w:rPr>
        <w:t>(‘the Regulations</w:t>
      </w:r>
      <w:r w:rsidR="00A66B0D">
        <w:rPr>
          <w:rFonts w:ascii="Verdana" w:hAnsi="Verdana" w:cs="Helvetica"/>
          <w:color w:val="auto"/>
          <w:sz w:val="22"/>
          <w:szCs w:val="22"/>
        </w:rPr>
        <w:t>’</w:t>
      </w:r>
      <w:r w:rsidR="00A01B1C">
        <w:rPr>
          <w:rFonts w:ascii="Verdana" w:hAnsi="Verdana" w:cs="Helvetica"/>
          <w:color w:val="auto"/>
          <w:sz w:val="22"/>
          <w:szCs w:val="22"/>
        </w:rPr>
        <w:t>)</w:t>
      </w:r>
      <w:r w:rsidR="00A66B0D">
        <w:rPr>
          <w:rFonts w:ascii="Verdana" w:hAnsi="Verdana" w:cs="Helvetica"/>
          <w:color w:val="auto"/>
          <w:sz w:val="22"/>
          <w:szCs w:val="22"/>
        </w:rPr>
        <w:t>.</w:t>
      </w:r>
      <w:r w:rsidR="00D14A1D">
        <w:rPr>
          <w:rStyle w:val="FootnoteReference"/>
          <w:rFonts w:ascii="Verdana" w:hAnsi="Verdana" w:cs="Helvetica"/>
          <w:color w:val="auto"/>
          <w:sz w:val="22"/>
          <w:szCs w:val="22"/>
        </w:rPr>
        <w:footnoteReference w:id="2"/>
      </w:r>
      <w:r w:rsidR="00333A9D" w:rsidRPr="00AC3ABB">
        <w:rPr>
          <w:rFonts w:ascii="Verdana" w:hAnsi="Verdana" w:cs="Helvetica"/>
          <w:color w:val="auto"/>
          <w:sz w:val="22"/>
          <w:szCs w:val="22"/>
        </w:rPr>
        <w:t xml:space="preserve"> Section 212(4) of the Act term</w:t>
      </w:r>
      <w:r w:rsidR="00A01B1C">
        <w:rPr>
          <w:rFonts w:ascii="Verdana" w:hAnsi="Verdana" w:cs="Helvetica"/>
          <w:color w:val="auto"/>
          <w:sz w:val="22"/>
          <w:szCs w:val="22"/>
        </w:rPr>
        <w:t>s</w:t>
      </w:r>
      <w:r w:rsidR="00333A9D" w:rsidRPr="00AC3ABB">
        <w:rPr>
          <w:rFonts w:ascii="Verdana" w:hAnsi="Verdana" w:cs="Helvetica"/>
          <w:color w:val="auto"/>
          <w:sz w:val="22"/>
          <w:szCs w:val="22"/>
        </w:rPr>
        <w:t xml:space="preserve"> these collectively as the </w:t>
      </w:r>
      <w:r w:rsidR="007303B6" w:rsidRPr="00AC3ABB">
        <w:rPr>
          <w:rFonts w:ascii="Verdana" w:hAnsi="Verdana" w:cs="Helvetica"/>
          <w:color w:val="auto"/>
          <w:sz w:val="22"/>
          <w:szCs w:val="22"/>
        </w:rPr>
        <w:t>“drafting requirements</w:t>
      </w:r>
      <w:r w:rsidR="007303B6" w:rsidRPr="00AC1AC0">
        <w:rPr>
          <w:rFonts w:ascii="Verdana" w:hAnsi="Verdana" w:cs="Helvetica"/>
          <w:color w:val="auto"/>
          <w:sz w:val="22"/>
          <w:szCs w:val="22"/>
        </w:rPr>
        <w:t>”</w:t>
      </w:r>
      <w:r w:rsidR="00333A9D" w:rsidRPr="00AC1AC0">
        <w:rPr>
          <w:rFonts w:ascii="Verdana" w:hAnsi="Verdana"/>
          <w:color w:val="auto"/>
          <w:sz w:val="22"/>
          <w:szCs w:val="22"/>
          <w:lang w:val="en-US"/>
        </w:rPr>
        <w:t>.</w:t>
      </w:r>
      <w:r w:rsidR="00AC1AC0" w:rsidRPr="00AC1AC0">
        <w:rPr>
          <w:rFonts w:ascii="Verdana" w:hAnsi="Verdana"/>
          <w:sz w:val="22"/>
          <w:szCs w:val="22"/>
          <w:lang w:val="en-US"/>
        </w:rPr>
        <w:t xml:space="preserve"> I have also had regard to the National Planning Policy Framework (NPPF) and the CIL section of the Planning Practice Guidance (PPG)</w:t>
      </w:r>
      <w:r w:rsidR="00F441D2">
        <w:rPr>
          <w:rFonts w:ascii="Verdana" w:hAnsi="Verdana"/>
          <w:sz w:val="22"/>
          <w:szCs w:val="22"/>
          <w:lang w:val="en-US"/>
        </w:rPr>
        <w:t>.</w:t>
      </w:r>
      <w:r w:rsidR="00D14A1D">
        <w:rPr>
          <w:rStyle w:val="FootnoteReference"/>
          <w:rFonts w:ascii="Verdana" w:hAnsi="Verdana"/>
          <w:sz w:val="22"/>
          <w:szCs w:val="22"/>
          <w:lang w:val="en-US"/>
        </w:rPr>
        <w:footnoteReference w:id="3"/>
      </w:r>
    </w:p>
    <w:p w14:paraId="3F1FAB5E" w14:textId="77777777" w:rsidR="005410D3" w:rsidRPr="00AC3ABB" w:rsidRDefault="005410D3" w:rsidP="005410D3">
      <w:pPr>
        <w:pStyle w:val="Default"/>
        <w:rPr>
          <w:rFonts w:ascii="Verdana" w:eastAsia="Verdana" w:hAnsi="Verdana" w:cs="Verdana"/>
          <w:sz w:val="22"/>
          <w:szCs w:val="22"/>
        </w:rPr>
      </w:pPr>
    </w:p>
    <w:p w14:paraId="06D9A528" w14:textId="7518FEA6" w:rsidR="0012758B" w:rsidRPr="00A01B1C" w:rsidRDefault="005410D3" w:rsidP="00AC3ABB">
      <w:pPr>
        <w:pStyle w:val="Default"/>
        <w:numPr>
          <w:ilvl w:val="0"/>
          <w:numId w:val="36"/>
        </w:numPr>
        <w:pBdr>
          <w:top w:val="nil"/>
          <w:left w:val="nil"/>
          <w:bottom w:val="nil"/>
          <w:right w:val="nil"/>
          <w:between w:val="nil"/>
          <w:bar w:val="nil"/>
        </w:pBdr>
        <w:autoSpaceDE/>
        <w:autoSpaceDN/>
        <w:adjustRightInd/>
        <w:rPr>
          <w:rFonts w:ascii="Verdana" w:eastAsia="Verdana" w:hAnsi="Verdana" w:cs="Verdana"/>
          <w:sz w:val="22"/>
          <w:szCs w:val="22"/>
        </w:rPr>
      </w:pPr>
      <w:r w:rsidRPr="00AC3ABB">
        <w:rPr>
          <w:rFonts w:ascii="Verdana" w:hAnsi="Verdana"/>
          <w:sz w:val="22"/>
          <w:szCs w:val="22"/>
          <w:lang w:val="en-US"/>
        </w:rPr>
        <w:t>To comply with the relevant legislation</w:t>
      </w:r>
      <w:r w:rsidR="00824776" w:rsidRPr="00AC3ABB">
        <w:rPr>
          <w:rFonts w:ascii="Verdana" w:hAnsi="Verdana"/>
          <w:sz w:val="22"/>
          <w:szCs w:val="22"/>
          <w:lang w:val="en-US"/>
        </w:rPr>
        <w:t xml:space="preserve">, the submitted </w:t>
      </w:r>
      <w:r w:rsidR="004003BB">
        <w:rPr>
          <w:rFonts w:ascii="Verdana" w:hAnsi="Verdana"/>
          <w:sz w:val="22"/>
          <w:szCs w:val="22"/>
          <w:lang w:val="en-US"/>
        </w:rPr>
        <w:t>C</w:t>
      </w:r>
      <w:r w:rsidRPr="00AC3ABB">
        <w:rPr>
          <w:rFonts w:ascii="Verdana" w:hAnsi="Verdana"/>
          <w:sz w:val="22"/>
          <w:szCs w:val="22"/>
          <w:lang w:val="en-US"/>
        </w:rPr>
        <w:t xml:space="preserve">harging </w:t>
      </w:r>
      <w:r w:rsidR="004003BB">
        <w:rPr>
          <w:rFonts w:ascii="Verdana" w:hAnsi="Verdana"/>
          <w:sz w:val="22"/>
          <w:szCs w:val="22"/>
          <w:lang w:val="en-US"/>
        </w:rPr>
        <w:t>S</w:t>
      </w:r>
      <w:r w:rsidR="00824776" w:rsidRPr="00AC3ABB">
        <w:rPr>
          <w:rFonts w:ascii="Verdana" w:hAnsi="Verdana"/>
          <w:sz w:val="22"/>
          <w:szCs w:val="22"/>
          <w:lang w:val="en-US"/>
        </w:rPr>
        <w:t xml:space="preserve">chedule must </w:t>
      </w:r>
      <w:r w:rsidR="00EA269D" w:rsidRPr="00AC3ABB">
        <w:rPr>
          <w:rFonts w:ascii="Verdana" w:hAnsi="Verdana"/>
          <w:sz w:val="22"/>
          <w:szCs w:val="22"/>
          <w:lang w:val="en-US"/>
        </w:rPr>
        <w:t xml:space="preserve">strike </w:t>
      </w:r>
      <w:r w:rsidR="003962D9" w:rsidRPr="00AC3ABB">
        <w:rPr>
          <w:rStyle w:val="legds2"/>
          <w:rFonts w:ascii="Verdana" w:hAnsi="Verdana" w:cs="Arial"/>
          <w:sz w:val="22"/>
          <w:szCs w:val="22"/>
          <w:lang w:val="en"/>
          <w:specVanish w:val="0"/>
        </w:rPr>
        <w:t>what appears to the charging authority to be</w:t>
      </w:r>
      <w:r w:rsidR="00A76FB2" w:rsidRPr="00AC3ABB">
        <w:rPr>
          <w:rStyle w:val="legds2"/>
          <w:rFonts w:ascii="Verdana" w:hAnsi="Verdana" w:cs="Arial"/>
          <w:sz w:val="22"/>
          <w:szCs w:val="22"/>
          <w:lang w:val="en"/>
          <w:specVanish w:val="0"/>
        </w:rPr>
        <w:t xml:space="preserve"> </w:t>
      </w:r>
      <w:r w:rsidRPr="00AC3ABB">
        <w:rPr>
          <w:rFonts w:ascii="Verdana" w:hAnsi="Verdana"/>
          <w:sz w:val="22"/>
          <w:szCs w:val="22"/>
          <w:lang w:val="en-US"/>
        </w:rPr>
        <w:t>an appropriate balance between helping to fund necessary new infrastructure and the potential effects on the economic viability of development across the district.</w:t>
      </w:r>
      <w:r w:rsidR="0012758B" w:rsidRPr="00AC3ABB">
        <w:rPr>
          <w:rFonts w:ascii="Verdana" w:hAnsi="Verdana"/>
          <w:sz w:val="22"/>
          <w:szCs w:val="22"/>
          <w:lang w:val="en-US"/>
        </w:rPr>
        <w:t xml:space="preserve"> The PPG </w:t>
      </w:r>
      <w:r w:rsidR="00C86FF3" w:rsidRPr="00AC3ABB">
        <w:rPr>
          <w:rFonts w:ascii="Verdana" w:hAnsi="Verdana"/>
          <w:sz w:val="22"/>
          <w:szCs w:val="22"/>
          <w:lang w:val="en-US"/>
        </w:rPr>
        <w:t>states</w:t>
      </w:r>
      <w:r w:rsidR="00EB6300">
        <w:rPr>
          <w:rStyle w:val="FootnoteReference"/>
          <w:rFonts w:ascii="Verdana" w:hAnsi="Verdana"/>
          <w:sz w:val="22"/>
          <w:szCs w:val="22"/>
          <w:lang w:val="en-US"/>
        </w:rPr>
        <w:footnoteReference w:id="4"/>
      </w:r>
      <w:r w:rsidR="00C86FF3" w:rsidRPr="00AC3ABB">
        <w:rPr>
          <w:rFonts w:ascii="Verdana" w:hAnsi="Verdana"/>
          <w:sz w:val="22"/>
          <w:szCs w:val="22"/>
          <w:lang w:val="en-US"/>
        </w:rPr>
        <w:t xml:space="preserve"> </w:t>
      </w:r>
      <w:r w:rsidR="0012758B" w:rsidRPr="00AC3ABB">
        <w:rPr>
          <w:rFonts w:ascii="Verdana" w:hAnsi="Verdana"/>
          <w:sz w:val="22"/>
          <w:szCs w:val="22"/>
          <w:lang w:val="en-US"/>
        </w:rPr>
        <w:t>that the examiner should establish that:</w:t>
      </w:r>
    </w:p>
    <w:p w14:paraId="28EF9752" w14:textId="0A8CE78E" w:rsidR="00F441D2" w:rsidRDefault="00F441D2" w:rsidP="00A01B1C">
      <w:pPr>
        <w:pStyle w:val="Default"/>
        <w:pBdr>
          <w:top w:val="nil"/>
          <w:left w:val="nil"/>
          <w:bottom w:val="nil"/>
          <w:right w:val="nil"/>
          <w:between w:val="nil"/>
          <w:bar w:val="nil"/>
        </w:pBdr>
        <w:autoSpaceDE/>
        <w:autoSpaceDN/>
        <w:adjustRightInd/>
        <w:rPr>
          <w:rFonts w:ascii="Verdana" w:eastAsia="Verdana" w:hAnsi="Verdana" w:cs="Verdana"/>
          <w:sz w:val="22"/>
          <w:szCs w:val="22"/>
        </w:rPr>
      </w:pPr>
    </w:p>
    <w:p w14:paraId="2312C355" w14:textId="4FED2393" w:rsidR="00F441D2" w:rsidRPr="009161FE" w:rsidRDefault="00F441D2" w:rsidP="00BB2F80">
      <w:pPr>
        <w:pStyle w:val="ListParagraph"/>
        <w:numPr>
          <w:ilvl w:val="0"/>
          <w:numId w:val="40"/>
        </w:numPr>
        <w:jc w:val="left"/>
        <w:rPr>
          <w:color w:val="0B0C0C"/>
          <w:szCs w:val="22"/>
        </w:rPr>
      </w:pPr>
      <w:r w:rsidRPr="009161FE">
        <w:rPr>
          <w:color w:val="0B0C0C"/>
          <w:szCs w:val="22"/>
        </w:rPr>
        <w:t xml:space="preserve">the charging authority has complied with the legislative requirements set out in the </w:t>
      </w:r>
      <w:hyperlink r:id="rId9" w:history="1">
        <w:r w:rsidRPr="009161FE">
          <w:rPr>
            <w:rStyle w:val="Hyperlink"/>
            <w:color w:val="0B0C0C"/>
            <w:szCs w:val="22"/>
            <w:bdr w:val="none" w:sz="0" w:space="0" w:color="auto" w:frame="1"/>
          </w:rPr>
          <w:t xml:space="preserve">Act </w:t>
        </w:r>
        <w:r w:rsidR="009161FE" w:rsidRPr="009161FE">
          <w:rPr>
            <w:rStyle w:val="Hyperlink"/>
            <w:color w:val="0B0C0C"/>
            <w:szCs w:val="22"/>
            <w:bdr w:val="none" w:sz="0" w:space="0" w:color="auto" w:frame="1"/>
          </w:rPr>
          <w:t xml:space="preserve">and the </w:t>
        </w:r>
      </w:hyperlink>
      <w:r w:rsidR="009161FE" w:rsidRPr="009161FE">
        <w:rPr>
          <w:color w:val="0B0C0C"/>
          <w:szCs w:val="22"/>
        </w:rPr>
        <w:t>Regulations</w:t>
      </w:r>
      <w:r w:rsidRPr="009161FE">
        <w:rPr>
          <w:color w:val="0B0C0C"/>
          <w:szCs w:val="22"/>
        </w:rPr>
        <w:t>;</w:t>
      </w:r>
    </w:p>
    <w:p w14:paraId="385C0164" w14:textId="77777777" w:rsidR="00F441D2" w:rsidRPr="009161FE" w:rsidRDefault="00F441D2" w:rsidP="00BB2F80">
      <w:pPr>
        <w:pStyle w:val="ListParagraph"/>
        <w:ind w:left="1211" w:firstLine="0"/>
        <w:jc w:val="left"/>
        <w:rPr>
          <w:color w:val="0B0C0C"/>
          <w:szCs w:val="22"/>
        </w:rPr>
      </w:pPr>
    </w:p>
    <w:p w14:paraId="4A22FBCC" w14:textId="77777777" w:rsidR="00F441D2" w:rsidRPr="009161FE" w:rsidRDefault="00F441D2" w:rsidP="00BB2F80">
      <w:pPr>
        <w:pStyle w:val="ListParagraph"/>
        <w:numPr>
          <w:ilvl w:val="0"/>
          <w:numId w:val="40"/>
        </w:numPr>
        <w:jc w:val="left"/>
        <w:rPr>
          <w:color w:val="0B0C0C"/>
          <w:szCs w:val="22"/>
        </w:rPr>
      </w:pPr>
      <w:r w:rsidRPr="009161FE">
        <w:rPr>
          <w:color w:val="0B0C0C"/>
          <w:szCs w:val="22"/>
        </w:rPr>
        <w:t>the draft charging schedule is supported by background documents containing appropriate available evidence;</w:t>
      </w:r>
    </w:p>
    <w:p w14:paraId="3B22A91C" w14:textId="77777777" w:rsidR="00F441D2" w:rsidRPr="009161FE" w:rsidRDefault="00F441D2" w:rsidP="00BB2F80">
      <w:pPr>
        <w:pStyle w:val="ListParagraph"/>
        <w:rPr>
          <w:color w:val="0B0C0C"/>
          <w:szCs w:val="22"/>
        </w:rPr>
      </w:pPr>
    </w:p>
    <w:p w14:paraId="35E5130A" w14:textId="77777777" w:rsidR="00F441D2" w:rsidRDefault="00F441D2" w:rsidP="00BB2F80">
      <w:pPr>
        <w:pStyle w:val="ListParagraph"/>
        <w:numPr>
          <w:ilvl w:val="0"/>
          <w:numId w:val="40"/>
        </w:numPr>
        <w:jc w:val="left"/>
        <w:rPr>
          <w:color w:val="0B0C0C"/>
          <w:szCs w:val="22"/>
        </w:rPr>
      </w:pPr>
      <w:r w:rsidRPr="009161FE">
        <w:rPr>
          <w:color w:val="0B0C0C"/>
          <w:szCs w:val="22"/>
        </w:rPr>
        <w:lastRenderedPageBreak/>
        <w:t>the charging authority has undertaken an appropriate level of consultation;</w:t>
      </w:r>
    </w:p>
    <w:p w14:paraId="33B73C31" w14:textId="77777777" w:rsidR="00872099" w:rsidRPr="00872099" w:rsidRDefault="00872099" w:rsidP="00872099">
      <w:pPr>
        <w:ind w:left="0" w:firstLine="0"/>
        <w:jc w:val="left"/>
        <w:rPr>
          <w:color w:val="0B0C0C"/>
          <w:szCs w:val="22"/>
        </w:rPr>
      </w:pPr>
    </w:p>
    <w:p w14:paraId="22D63881" w14:textId="77777777" w:rsidR="00F441D2" w:rsidRPr="009161FE" w:rsidRDefault="00F441D2" w:rsidP="00BB2F80">
      <w:pPr>
        <w:pStyle w:val="ListParagraph"/>
        <w:numPr>
          <w:ilvl w:val="0"/>
          <w:numId w:val="40"/>
        </w:numPr>
        <w:jc w:val="left"/>
        <w:rPr>
          <w:color w:val="0B0C0C"/>
          <w:szCs w:val="22"/>
        </w:rPr>
      </w:pPr>
      <w:r w:rsidRPr="009161FE">
        <w:rPr>
          <w:color w:val="0B0C0C"/>
          <w:szCs w:val="22"/>
        </w:rPr>
        <w:t>the proposed rate or rates are informed by, and consistent with, the evidence on viability across the charging authority’s area; and</w:t>
      </w:r>
    </w:p>
    <w:p w14:paraId="0F426BF5" w14:textId="77777777" w:rsidR="00F441D2" w:rsidRPr="009161FE" w:rsidRDefault="00F441D2" w:rsidP="00BB2F80">
      <w:pPr>
        <w:pStyle w:val="ListParagraph"/>
        <w:rPr>
          <w:color w:val="0B0C0C"/>
          <w:szCs w:val="22"/>
        </w:rPr>
      </w:pPr>
    </w:p>
    <w:p w14:paraId="711D848A" w14:textId="596497F7" w:rsidR="00F441D2" w:rsidRPr="009161FE" w:rsidRDefault="00F441D2" w:rsidP="00BB2F80">
      <w:pPr>
        <w:pStyle w:val="ListParagraph"/>
        <w:numPr>
          <w:ilvl w:val="0"/>
          <w:numId w:val="40"/>
        </w:numPr>
        <w:jc w:val="left"/>
        <w:rPr>
          <w:color w:val="0B0C0C"/>
          <w:szCs w:val="22"/>
        </w:rPr>
      </w:pPr>
      <w:proofErr w:type="gramStart"/>
      <w:r w:rsidRPr="009161FE">
        <w:rPr>
          <w:color w:val="0B0C0C"/>
          <w:szCs w:val="22"/>
        </w:rPr>
        <w:t>evidence</w:t>
      </w:r>
      <w:proofErr w:type="gramEnd"/>
      <w:r w:rsidRPr="009161FE">
        <w:rPr>
          <w:color w:val="0B0C0C"/>
          <w:szCs w:val="22"/>
        </w:rPr>
        <w:t xml:space="preserve"> has been provided that shows the proposed rate or rates would not undermine the deliverability of the plan (see N</w:t>
      </w:r>
      <w:r w:rsidR="009161FE">
        <w:rPr>
          <w:color w:val="0B0C0C"/>
          <w:szCs w:val="22"/>
        </w:rPr>
        <w:t>PPF</w:t>
      </w:r>
      <w:r w:rsidRPr="009161FE">
        <w:rPr>
          <w:color w:val="0B0C0C"/>
          <w:szCs w:val="22"/>
        </w:rPr>
        <w:t xml:space="preserve"> paragraph</w:t>
      </w:r>
      <w:r w:rsidR="00EB6300" w:rsidRPr="009161FE">
        <w:rPr>
          <w:color w:val="0B0C0C"/>
          <w:szCs w:val="22"/>
        </w:rPr>
        <w:t xml:space="preserve"> </w:t>
      </w:r>
      <w:r w:rsidRPr="009161FE">
        <w:rPr>
          <w:color w:val="0B0C0C"/>
          <w:szCs w:val="22"/>
        </w:rPr>
        <w:t>34</w:t>
      </w:r>
      <w:r w:rsidR="00D14A1D">
        <w:rPr>
          <w:rStyle w:val="FootnoteReference"/>
          <w:color w:val="0B0C0C"/>
          <w:szCs w:val="22"/>
        </w:rPr>
        <w:footnoteReference w:id="5"/>
      </w:r>
      <w:r w:rsidR="00EB6300" w:rsidRPr="009161FE">
        <w:rPr>
          <w:color w:val="0B0C0C"/>
          <w:szCs w:val="22"/>
        </w:rPr>
        <w:t>).</w:t>
      </w:r>
    </w:p>
    <w:p w14:paraId="37A884BB" w14:textId="4C244CDD" w:rsidR="00A01B1C" w:rsidRPr="00A01B1C" w:rsidRDefault="00A01B1C" w:rsidP="00BB2F80">
      <w:pPr>
        <w:spacing w:line="300" w:lineRule="atLeast"/>
        <w:ind w:left="0" w:firstLine="0"/>
        <w:jc w:val="left"/>
        <w:rPr>
          <w:rFonts w:cs="Helvetica"/>
          <w:szCs w:val="22"/>
        </w:rPr>
      </w:pPr>
    </w:p>
    <w:p w14:paraId="3CFE0459" w14:textId="6C627117" w:rsidR="005410D3" w:rsidRPr="00CC1395" w:rsidRDefault="005410D3" w:rsidP="00BB2F80">
      <w:pPr>
        <w:pStyle w:val="Default"/>
        <w:numPr>
          <w:ilvl w:val="0"/>
          <w:numId w:val="36"/>
        </w:numPr>
        <w:pBdr>
          <w:top w:val="nil"/>
          <w:left w:val="nil"/>
          <w:bottom w:val="nil"/>
          <w:right w:val="nil"/>
          <w:between w:val="nil"/>
          <w:bar w:val="nil"/>
        </w:pBdr>
        <w:autoSpaceDE/>
        <w:autoSpaceDN/>
        <w:adjustRightInd/>
        <w:rPr>
          <w:rFonts w:ascii="Verdana" w:eastAsia="Verdana" w:hAnsi="Verdana" w:cs="Verdana"/>
          <w:sz w:val="22"/>
          <w:szCs w:val="22"/>
          <w:highlight w:val="yellow"/>
        </w:rPr>
      </w:pPr>
      <w:r w:rsidRPr="00AC3ABB">
        <w:rPr>
          <w:rFonts w:ascii="Verdana" w:hAnsi="Verdana"/>
          <w:sz w:val="22"/>
          <w:szCs w:val="22"/>
          <w:lang w:val="en-US"/>
        </w:rPr>
        <w:t xml:space="preserve">The basis for the examination, </w:t>
      </w:r>
      <w:r w:rsidR="00CC1395" w:rsidRPr="00A856D2">
        <w:rPr>
          <w:rFonts w:ascii="Verdana" w:hAnsi="Verdana"/>
          <w:color w:val="auto"/>
          <w:sz w:val="22"/>
          <w:szCs w:val="22"/>
          <w:lang w:val="en-US"/>
        </w:rPr>
        <w:t xml:space="preserve">on which </w:t>
      </w:r>
      <w:r w:rsidR="00A856D2" w:rsidRPr="00A856D2">
        <w:rPr>
          <w:rFonts w:ascii="Verdana" w:hAnsi="Verdana"/>
          <w:color w:val="auto"/>
          <w:sz w:val="22"/>
          <w:szCs w:val="22"/>
          <w:lang w:val="en-US"/>
        </w:rPr>
        <w:t xml:space="preserve">a </w:t>
      </w:r>
      <w:r w:rsidR="00CC1395" w:rsidRPr="00A856D2">
        <w:rPr>
          <w:rFonts w:ascii="Verdana" w:hAnsi="Verdana"/>
          <w:color w:val="auto"/>
          <w:sz w:val="22"/>
          <w:szCs w:val="22"/>
          <w:lang w:val="en-US"/>
        </w:rPr>
        <w:t xml:space="preserve">hearing session </w:t>
      </w:r>
      <w:r w:rsidR="007D39C3" w:rsidRPr="00A856D2">
        <w:rPr>
          <w:rFonts w:ascii="Verdana" w:hAnsi="Verdana"/>
          <w:color w:val="auto"/>
          <w:sz w:val="22"/>
          <w:szCs w:val="22"/>
          <w:lang w:val="en-US"/>
        </w:rPr>
        <w:t>was</w:t>
      </w:r>
      <w:r w:rsidR="00CC1395" w:rsidRPr="00A856D2">
        <w:rPr>
          <w:rFonts w:ascii="Verdana" w:hAnsi="Verdana"/>
          <w:color w:val="auto"/>
          <w:sz w:val="22"/>
          <w:szCs w:val="22"/>
          <w:lang w:val="en-US"/>
        </w:rPr>
        <w:t xml:space="preserve"> held </w:t>
      </w:r>
      <w:r w:rsidR="00AA6735">
        <w:rPr>
          <w:rFonts w:ascii="Verdana" w:hAnsi="Verdana"/>
          <w:sz w:val="22"/>
          <w:szCs w:val="22"/>
          <w:lang w:val="en-US"/>
        </w:rPr>
        <w:t>31</w:t>
      </w:r>
      <w:r w:rsidR="007D39C3">
        <w:rPr>
          <w:rFonts w:ascii="Verdana" w:hAnsi="Verdana"/>
          <w:sz w:val="22"/>
          <w:szCs w:val="22"/>
          <w:lang w:val="en-US"/>
        </w:rPr>
        <w:t xml:space="preserve"> March 2025</w:t>
      </w:r>
      <w:r w:rsidRPr="00AC3ABB">
        <w:rPr>
          <w:rFonts w:ascii="Verdana" w:hAnsi="Verdana"/>
          <w:sz w:val="22"/>
          <w:szCs w:val="22"/>
          <w:lang w:val="en-US"/>
        </w:rPr>
        <w:t xml:space="preserve">, is the submitted schedule of </w:t>
      </w:r>
      <w:r w:rsidR="00DC7C29">
        <w:rPr>
          <w:rFonts w:ascii="Verdana" w:hAnsi="Verdana"/>
          <w:sz w:val="22"/>
          <w:szCs w:val="22"/>
          <w:lang w:val="en-US"/>
        </w:rPr>
        <w:t xml:space="preserve">12 February </w:t>
      </w:r>
      <w:r w:rsidR="00A856D2">
        <w:rPr>
          <w:rFonts w:ascii="Verdana" w:hAnsi="Verdana"/>
          <w:sz w:val="22"/>
          <w:szCs w:val="22"/>
          <w:lang w:val="en-US"/>
        </w:rPr>
        <w:t>202</w:t>
      </w:r>
      <w:r w:rsidR="00DC7C29">
        <w:rPr>
          <w:rFonts w:ascii="Verdana" w:hAnsi="Verdana"/>
          <w:sz w:val="22"/>
          <w:szCs w:val="22"/>
          <w:lang w:val="en-US"/>
        </w:rPr>
        <w:t>5</w:t>
      </w:r>
      <w:r w:rsidR="00C102AC">
        <w:rPr>
          <w:rFonts w:ascii="Verdana" w:hAnsi="Verdana"/>
          <w:sz w:val="22"/>
          <w:szCs w:val="22"/>
          <w:lang w:val="en-US"/>
        </w:rPr>
        <w:t>.</w:t>
      </w:r>
      <w:r w:rsidR="004C294C">
        <w:rPr>
          <w:rStyle w:val="FootnoteReference"/>
          <w:rFonts w:ascii="Verdana" w:hAnsi="Verdana"/>
          <w:sz w:val="22"/>
          <w:szCs w:val="22"/>
          <w:lang w:val="en-US"/>
        </w:rPr>
        <w:footnoteReference w:id="6"/>
      </w:r>
      <w:r w:rsidR="00C102AC">
        <w:rPr>
          <w:rFonts w:ascii="Verdana" w:hAnsi="Verdana"/>
          <w:sz w:val="22"/>
          <w:szCs w:val="22"/>
          <w:lang w:val="en-US"/>
        </w:rPr>
        <w:t xml:space="preserve">  </w:t>
      </w:r>
    </w:p>
    <w:p w14:paraId="77F9A3F1" w14:textId="77777777" w:rsidR="005410D3" w:rsidRPr="00AC3ABB" w:rsidRDefault="005410D3" w:rsidP="005410D3">
      <w:pPr>
        <w:pStyle w:val="Default"/>
        <w:rPr>
          <w:rFonts w:ascii="Verdana" w:eastAsia="Verdana" w:hAnsi="Verdana" w:cs="Verdana"/>
          <w:sz w:val="22"/>
          <w:szCs w:val="22"/>
        </w:rPr>
      </w:pPr>
    </w:p>
    <w:p w14:paraId="0E621B2F" w14:textId="5BFDECC3" w:rsidR="00D8161F" w:rsidRPr="00D8161F" w:rsidRDefault="00272070" w:rsidP="490A0F68">
      <w:pPr>
        <w:pStyle w:val="Default"/>
        <w:numPr>
          <w:ilvl w:val="0"/>
          <w:numId w:val="36"/>
        </w:numPr>
        <w:pBdr>
          <w:top w:val="nil"/>
          <w:left w:val="nil"/>
          <w:bottom w:val="nil"/>
          <w:right w:val="nil"/>
          <w:between w:val="nil"/>
          <w:bar w:val="nil"/>
        </w:pBdr>
        <w:autoSpaceDE/>
        <w:autoSpaceDN/>
        <w:adjustRightInd/>
        <w:rPr>
          <w:rFonts w:ascii="Verdana" w:eastAsia="Verdana" w:hAnsi="Verdana" w:cs="Verdana"/>
          <w:sz w:val="22"/>
          <w:szCs w:val="22"/>
          <w:highlight w:val="yellow"/>
        </w:rPr>
      </w:pPr>
      <w:r>
        <w:rPr>
          <w:rFonts w:ascii="Verdana" w:hAnsi="Verdana"/>
          <w:sz w:val="22"/>
          <w:szCs w:val="22"/>
          <w:lang w:val="en-US"/>
        </w:rPr>
        <w:t>There is an existing CIL in place for Oxford</w:t>
      </w:r>
      <w:r w:rsidR="005628C4">
        <w:rPr>
          <w:rFonts w:ascii="Verdana" w:hAnsi="Verdana"/>
          <w:sz w:val="22"/>
          <w:szCs w:val="22"/>
          <w:lang w:val="en-US"/>
        </w:rPr>
        <w:t>,</w:t>
      </w:r>
      <w:r>
        <w:rPr>
          <w:rFonts w:ascii="Verdana" w:hAnsi="Verdana"/>
          <w:sz w:val="22"/>
          <w:szCs w:val="22"/>
          <w:lang w:val="en-US"/>
        </w:rPr>
        <w:t xml:space="preserve"> originally set in 2013.</w:t>
      </w:r>
      <w:r w:rsidR="00235481">
        <w:rPr>
          <w:rStyle w:val="FootnoteReference"/>
          <w:rFonts w:ascii="Verdana" w:hAnsi="Verdana"/>
          <w:sz w:val="22"/>
          <w:szCs w:val="22"/>
          <w:lang w:val="en-US"/>
        </w:rPr>
        <w:footnoteReference w:id="7"/>
      </w:r>
      <w:r>
        <w:rPr>
          <w:rFonts w:ascii="Verdana" w:hAnsi="Verdana"/>
          <w:sz w:val="22"/>
          <w:szCs w:val="22"/>
          <w:lang w:val="en-US"/>
        </w:rPr>
        <w:t xml:space="preserve">  In late 2023 the Council consulted on </w:t>
      </w:r>
      <w:r w:rsidR="00584A99">
        <w:rPr>
          <w:rFonts w:ascii="Verdana" w:hAnsi="Verdana"/>
          <w:sz w:val="22"/>
          <w:szCs w:val="22"/>
          <w:lang w:val="en-US"/>
        </w:rPr>
        <w:t>a partial review</w:t>
      </w:r>
      <w:r w:rsidR="00915FBE">
        <w:rPr>
          <w:rFonts w:ascii="Verdana" w:hAnsi="Verdana"/>
          <w:sz w:val="22"/>
          <w:szCs w:val="22"/>
          <w:lang w:val="en-US"/>
        </w:rPr>
        <w:t xml:space="preserve"> to the existing CIL.  </w:t>
      </w:r>
      <w:r w:rsidR="00EE3CDC">
        <w:rPr>
          <w:rFonts w:ascii="Verdana" w:hAnsi="Verdana"/>
          <w:sz w:val="22"/>
          <w:szCs w:val="22"/>
          <w:lang w:val="en-US"/>
        </w:rPr>
        <w:t>The</w:t>
      </w:r>
      <w:r w:rsidR="003E02E1">
        <w:rPr>
          <w:rFonts w:ascii="Verdana" w:hAnsi="Verdana"/>
          <w:sz w:val="22"/>
          <w:szCs w:val="22"/>
          <w:lang w:val="en-US"/>
        </w:rPr>
        <w:t xml:space="preserve"> consultation noted that the main CIL conclusion reached in </w:t>
      </w:r>
      <w:r w:rsidR="00A856D2">
        <w:rPr>
          <w:rFonts w:ascii="Verdana" w:hAnsi="Verdana"/>
          <w:sz w:val="22"/>
          <w:szCs w:val="22"/>
          <w:lang w:val="en-US"/>
        </w:rPr>
        <w:t>a</w:t>
      </w:r>
      <w:r w:rsidR="003E02E1">
        <w:rPr>
          <w:rFonts w:ascii="Verdana" w:hAnsi="Verdana"/>
          <w:sz w:val="22"/>
          <w:szCs w:val="22"/>
          <w:lang w:val="en-US"/>
        </w:rPr>
        <w:t xml:space="preserve"> viability </w:t>
      </w:r>
      <w:r w:rsidR="005628C4">
        <w:rPr>
          <w:rFonts w:ascii="Verdana" w:hAnsi="Verdana"/>
          <w:sz w:val="22"/>
          <w:szCs w:val="22"/>
          <w:lang w:val="en-US"/>
        </w:rPr>
        <w:t>as</w:t>
      </w:r>
      <w:r w:rsidR="003E02E1">
        <w:rPr>
          <w:rFonts w:ascii="Verdana" w:hAnsi="Verdana"/>
          <w:sz w:val="22"/>
          <w:szCs w:val="22"/>
          <w:lang w:val="en-US"/>
        </w:rPr>
        <w:t xml:space="preserve">sessment undertaken in relation to the emerging </w:t>
      </w:r>
      <w:r w:rsidR="009841D8">
        <w:rPr>
          <w:rFonts w:ascii="Verdana" w:hAnsi="Verdana"/>
          <w:sz w:val="22"/>
          <w:szCs w:val="22"/>
          <w:lang w:val="en-US"/>
        </w:rPr>
        <w:t>L</w:t>
      </w:r>
      <w:r w:rsidR="003E02E1">
        <w:rPr>
          <w:rFonts w:ascii="Verdana" w:hAnsi="Verdana"/>
          <w:sz w:val="22"/>
          <w:szCs w:val="22"/>
          <w:lang w:val="en-US"/>
        </w:rPr>
        <w:t xml:space="preserve">ocal </w:t>
      </w:r>
      <w:r w:rsidR="009841D8">
        <w:rPr>
          <w:rFonts w:ascii="Verdana" w:hAnsi="Verdana"/>
          <w:sz w:val="22"/>
          <w:szCs w:val="22"/>
          <w:lang w:val="en-US"/>
        </w:rPr>
        <w:t>P</w:t>
      </w:r>
      <w:r w:rsidR="003E02E1">
        <w:rPr>
          <w:rFonts w:ascii="Verdana" w:hAnsi="Verdana"/>
          <w:sz w:val="22"/>
          <w:szCs w:val="22"/>
          <w:lang w:val="en-US"/>
        </w:rPr>
        <w:t xml:space="preserve">lan was that most use classes would not be able to absorb an increased CIL in the light of the proposed </w:t>
      </w:r>
      <w:r w:rsidR="009841D8">
        <w:rPr>
          <w:rFonts w:ascii="Verdana" w:hAnsi="Verdana"/>
          <w:sz w:val="22"/>
          <w:szCs w:val="22"/>
          <w:lang w:val="en-US"/>
        </w:rPr>
        <w:t>L</w:t>
      </w:r>
      <w:r w:rsidR="003E02E1">
        <w:rPr>
          <w:rFonts w:ascii="Verdana" w:hAnsi="Verdana"/>
          <w:sz w:val="22"/>
          <w:szCs w:val="22"/>
          <w:lang w:val="en-US"/>
        </w:rPr>
        <w:t xml:space="preserve">ocal </w:t>
      </w:r>
      <w:r w:rsidR="009841D8">
        <w:rPr>
          <w:rFonts w:ascii="Verdana" w:hAnsi="Verdana"/>
          <w:sz w:val="22"/>
          <w:szCs w:val="22"/>
          <w:lang w:val="en-US"/>
        </w:rPr>
        <w:t>P</w:t>
      </w:r>
      <w:r w:rsidR="003E02E1">
        <w:rPr>
          <w:rFonts w:ascii="Verdana" w:hAnsi="Verdana"/>
          <w:sz w:val="22"/>
          <w:szCs w:val="22"/>
          <w:lang w:val="en-US"/>
        </w:rPr>
        <w:t>lan policies.  For this reason</w:t>
      </w:r>
      <w:r w:rsidR="0041287B">
        <w:rPr>
          <w:rFonts w:ascii="Verdana" w:hAnsi="Verdana"/>
          <w:sz w:val="22"/>
          <w:szCs w:val="22"/>
          <w:lang w:val="en-US"/>
        </w:rPr>
        <w:t>,</w:t>
      </w:r>
      <w:r w:rsidR="003E02E1">
        <w:rPr>
          <w:rFonts w:ascii="Verdana" w:hAnsi="Verdana"/>
          <w:sz w:val="22"/>
          <w:szCs w:val="22"/>
          <w:lang w:val="en-US"/>
        </w:rPr>
        <w:t xml:space="preserve"> the review </w:t>
      </w:r>
      <w:r w:rsidR="00073E77">
        <w:rPr>
          <w:rFonts w:ascii="Verdana" w:hAnsi="Verdana"/>
          <w:sz w:val="22"/>
          <w:szCs w:val="22"/>
          <w:lang w:val="en-US"/>
        </w:rPr>
        <w:t xml:space="preserve">was </w:t>
      </w:r>
      <w:r w:rsidR="003E02E1">
        <w:rPr>
          <w:rFonts w:ascii="Verdana" w:hAnsi="Verdana"/>
          <w:sz w:val="22"/>
          <w:szCs w:val="22"/>
          <w:lang w:val="en-US"/>
        </w:rPr>
        <w:t>a partial one with th</w:t>
      </w:r>
      <w:r w:rsidR="00915FBE">
        <w:rPr>
          <w:rFonts w:ascii="Verdana" w:hAnsi="Verdana"/>
          <w:sz w:val="22"/>
          <w:szCs w:val="22"/>
          <w:lang w:val="en-US"/>
        </w:rPr>
        <w:t xml:space="preserve">e modifications </w:t>
      </w:r>
      <w:r w:rsidR="005628C4">
        <w:rPr>
          <w:rFonts w:ascii="Verdana" w:hAnsi="Verdana"/>
          <w:sz w:val="22"/>
          <w:szCs w:val="22"/>
          <w:lang w:val="en-US"/>
        </w:rPr>
        <w:t xml:space="preserve">originally </w:t>
      </w:r>
      <w:r w:rsidR="00915FBE">
        <w:rPr>
          <w:rFonts w:ascii="Verdana" w:hAnsi="Verdana"/>
          <w:sz w:val="22"/>
          <w:szCs w:val="22"/>
          <w:lang w:val="en-US"/>
        </w:rPr>
        <w:t xml:space="preserve">limited </w:t>
      </w:r>
      <w:r w:rsidR="003E02E1">
        <w:rPr>
          <w:rFonts w:ascii="Verdana" w:hAnsi="Verdana"/>
          <w:sz w:val="22"/>
          <w:szCs w:val="22"/>
          <w:lang w:val="en-US"/>
        </w:rPr>
        <w:t>to</w:t>
      </w:r>
      <w:r w:rsidR="00915FBE">
        <w:rPr>
          <w:rFonts w:ascii="Verdana" w:hAnsi="Verdana"/>
          <w:sz w:val="22"/>
          <w:szCs w:val="22"/>
          <w:lang w:val="en-US"/>
        </w:rPr>
        <w:t xml:space="preserve"> changes proposed for three of the existing rates.  The three were Class E</w:t>
      </w:r>
      <w:r w:rsidR="007517A8">
        <w:rPr>
          <w:rFonts w:ascii="Verdana" w:hAnsi="Verdana"/>
          <w:sz w:val="22"/>
          <w:szCs w:val="22"/>
          <w:lang w:val="en-US"/>
        </w:rPr>
        <w:t xml:space="preserve"> (g) Office and R&amp;D,</w:t>
      </w:r>
      <w:r w:rsidR="00915FBE">
        <w:rPr>
          <w:rFonts w:ascii="Verdana" w:hAnsi="Verdana"/>
          <w:sz w:val="22"/>
          <w:szCs w:val="22"/>
          <w:lang w:val="en-US"/>
        </w:rPr>
        <w:t xml:space="preserve"> Class B2 General industrial and Class B Storage </w:t>
      </w:r>
      <w:r w:rsidR="00443B8D">
        <w:rPr>
          <w:rFonts w:ascii="Verdana" w:hAnsi="Verdana"/>
          <w:sz w:val="22"/>
          <w:szCs w:val="22"/>
          <w:lang w:val="en-US"/>
        </w:rPr>
        <w:t>or</w:t>
      </w:r>
      <w:r w:rsidR="00915FBE">
        <w:rPr>
          <w:rFonts w:ascii="Verdana" w:hAnsi="Verdana"/>
          <w:sz w:val="22"/>
          <w:szCs w:val="22"/>
          <w:lang w:val="en-US"/>
        </w:rPr>
        <w:t xml:space="preserve"> distribution.</w:t>
      </w:r>
      <w:r w:rsidR="007517A8">
        <w:rPr>
          <w:rFonts w:ascii="Verdana" w:hAnsi="Verdana"/>
          <w:sz w:val="22"/>
          <w:szCs w:val="22"/>
          <w:lang w:val="en-US"/>
        </w:rPr>
        <w:t xml:space="preserve">  The proposed </w:t>
      </w:r>
      <w:r w:rsidR="005D209C">
        <w:rPr>
          <w:rFonts w:ascii="Verdana" w:hAnsi="Verdana"/>
          <w:sz w:val="22"/>
          <w:szCs w:val="22"/>
          <w:lang w:val="en-US"/>
        </w:rPr>
        <w:t xml:space="preserve">new </w:t>
      </w:r>
      <w:r w:rsidR="007517A8">
        <w:rPr>
          <w:rFonts w:ascii="Verdana" w:hAnsi="Verdana"/>
          <w:sz w:val="22"/>
          <w:szCs w:val="22"/>
          <w:lang w:val="en-US"/>
        </w:rPr>
        <w:t>rate for all three was £168.74 per</w:t>
      </w:r>
      <w:r w:rsidR="00D334D4">
        <w:rPr>
          <w:rFonts w:ascii="Verdana" w:hAnsi="Verdana"/>
          <w:sz w:val="22"/>
          <w:szCs w:val="22"/>
          <w:lang w:val="en-US"/>
        </w:rPr>
        <w:t xml:space="preserve"> square </w:t>
      </w:r>
      <w:proofErr w:type="spellStart"/>
      <w:r w:rsidR="00D334D4">
        <w:rPr>
          <w:rFonts w:ascii="Verdana" w:hAnsi="Verdana"/>
          <w:sz w:val="22"/>
          <w:szCs w:val="22"/>
          <w:lang w:val="en-US"/>
        </w:rPr>
        <w:t>metre</w:t>
      </w:r>
      <w:proofErr w:type="spellEnd"/>
      <w:r w:rsidR="00D334D4">
        <w:rPr>
          <w:rFonts w:ascii="Verdana" w:hAnsi="Verdana"/>
          <w:sz w:val="22"/>
          <w:szCs w:val="22"/>
          <w:lang w:val="en-US"/>
        </w:rPr>
        <w:t xml:space="preserve"> (</w:t>
      </w:r>
      <w:proofErr w:type="spellStart"/>
      <w:r w:rsidR="00D334D4">
        <w:rPr>
          <w:rFonts w:ascii="Verdana" w:hAnsi="Verdana"/>
          <w:sz w:val="22"/>
          <w:szCs w:val="22"/>
          <w:lang w:val="en-US"/>
        </w:rPr>
        <w:t>sq.m</w:t>
      </w:r>
      <w:proofErr w:type="spellEnd"/>
      <w:r w:rsidR="005A0417">
        <w:rPr>
          <w:rFonts w:ascii="Verdana" w:hAnsi="Verdana"/>
          <w:sz w:val="22"/>
          <w:szCs w:val="22"/>
          <w:lang w:val="en-US"/>
        </w:rPr>
        <w:t>)</w:t>
      </w:r>
      <w:r w:rsidR="008E61F6">
        <w:rPr>
          <w:rFonts w:ascii="Verdana" w:hAnsi="Verdana"/>
          <w:sz w:val="22"/>
          <w:szCs w:val="22"/>
          <w:lang w:val="en-US"/>
        </w:rPr>
        <w:t xml:space="preserve"> taking into account indexation of CIL rates in 2024</w:t>
      </w:r>
      <w:r w:rsidR="007517A8">
        <w:rPr>
          <w:rFonts w:ascii="Verdana" w:hAnsi="Verdana"/>
          <w:sz w:val="22"/>
          <w:szCs w:val="22"/>
          <w:lang w:val="en-US"/>
        </w:rPr>
        <w:t>.</w:t>
      </w:r>
      <w:r w:rsidR="00D5216C">
        <w:rPr>
          <w:rStyle w:val="FootnoteReference"/>
          <w:rFonts w:ascii="Verdana" w:hAnsi="Verdana"/>
          <w:sz w:val="22"/>
          <w:szCs w:val="22"/>
          <w:lang w:val="en-US"/>
        </w:rPr>
        <w:footnoteReference w:id="8"/>
      </w:r>
      <w:r w:rsidR="007517A8">
        <w:rPr>
          <w:rFonts w:ascii="Verdana" w:hAnsi="Verdana"/>
          <w:sz w:val="22"/>
          <w:szCs w:val="22"/>
          <w:lang w:val="en-US"/>
        </w:rPr>
        <w:t xml:space="preserve">  Taking indexation into account</w:t>
      </w:r>
      <w:r w:rsidR="008E61F6">
        <w:rPr>
          <w:rFonts w:ascii="Verdana" w:hAnsi="Verdana"/>
          <w:sz w:val="22"/>
          <w:szCs w:val="22"/>
          <w:lang w:val="en-US"/>
        </w:rPr>
        <w:t>,</w:t>
      </w:r>
      <w:r w:rsidR="007517A8">
        <w:rPr>
          <w:rFonts w:ascii="Verdana" w:hAnsi="Verdana"/>
          <w:sz w:val="22"/>
          <w:szCs w:val="22"/>
          <w:lang w:val="en-US"/>
        </w:rPr>
        <w:t xml:space="preserve"> the existing rate </w:t>
      </w:r>
      <w:r w:rsidR="00163A0C">
        <w:rPr>
          <w:rFonts w:ascii="Verdana" w:hAnsi="Verdana"/>
          <w:sz w:val="22"/>
          <w:szCs w:val="22"/>
          <w:lang w:val="en-US"/>
        </w:rPr>
        <w:t>is</w:t>
      </w:r>
      <w:r w:rsidR="007517A8">
        <w:rPr>
          <w:rFonts w:ascii="Verdana" w:hAnsi="Verdana"/>
          <w:sz w:val="22"/>
          <w:szCs w:val="22"/>
          <w:lang w:val="en-US"/>
        </w:rPr>
        <w:t xml:space="preserve"> £33.74</w:t>
      </w:r>
      <w:r w:rsidR="005A0417">
        <w:rPr>
          <w:rFonts w:ascii="Verdana" w:hAnsi="Verdana"/>
          <w:sz w:val="22"/>
          <w:szCs w:val="22"/>
          <w:lang w:val="en-US"/>
        </w:rPr>
        <w:t xml:space="preserve"> per </w:t>
      </w:r>
      <w:proofErr w:type="spellStart"/>
      <w:r w:rsidR="005A0417">
        <w:rPr>
          <w:rFonts w:ascii="Verdana" w:hAnsi="Verdana"/>
          <w:sz w:val="22"/>
          <w:szCs w:val="22"/>
          <w:lang w:val="en-US"/>
        </w:rPr>
        <w:t>sq.m</w:t>
      </w:r>
      <w:proofErr w:type="spellEnd"/>
      <w:r w:rsidR="007517A8">
        <w:rPr>
          <w:rFonts w:ascii="Verdana" w:hAnsi="Verdana"/>
          <w:sz w:val="22"/>
          <w:szCs w:val="22"/>
          <w:lang w:val="en-US"/>
        </w:rPr>
        <w:t>.</w:t>
      </w:r>
      <w:r w:rsidR="005D209C">
        <w:rPr>
          <w:rFonts w:ascii="Verdana" w:hAnsi="Verdana"/>
          <w:sz w:val="22"/>
          <w:szCs w:val="22"/>
          <w:lang w:val="en-US"/>
        </w:rPr>
        <w:t xml:space="preserve">  In 2024 further viability work</w:t>
      </w:r>
      <w:r w:rsidR="007517A8">
        <w:rPr>
          <w:rFonts w:ascii="Verdana" w:hAnsi="Verdana"/>
          <w:sz w:val="22"/>
          <w:szCs w:val="22"/>
          <w:lang w:val="en-US"/>
        </w:rPr>
        <w:t xml:space="preserve"> </w:t>
      </w:r>
      <w:r w:rsidR="005D209C">
        <w:rPr>
          <w:rFonts w:ascii="Verdana" w:hAnsi="Verdana"/>
          <w:sz w:val="22"/>
          <w:szCs w:val="22"/>
          <w:lang w:val="en-US"/>
        </w:rPr>
        <w:t xml:space="preserve">was undertaken resulting in a change to the </w:t>
      </w:r>
      <w:r w:rsidR="00EE3CDC">
        <w:rPr>
          <w:rFonts w:ascii="Verdana" w:hAnsi="Verdana"/>
          <w:sz w:val="22"/>
          <w:szCs w:val="22"/>
          <w:lang w:val="en-US"/>
        </w:rPr>
        <w:t>proposals</w:t>
      </w:r>
      <w:r w:rsidR="005D209C">
        <w:rPr>
          <w:rFonts w:ascii="Verdana" w:hAnsi="Verdana"/>
          <w:sz w:val="22"/>
          <w:szCs w:val="22"/>
          <w:lang w:val="en-US"/>
        </w:rPr>
        <w:t>.  The current proposals are now to retain the existing rate for general industrial and storage</w:t>
      </w:r>
      <w:r w:rsidR="005A0417">
        <w:rPr>
          <w:rFonts w:ascii="Verdana" w:hAnsi="Verdana"/>
          <w:sz w:val="22"/>
          <w:szCs w:val="22"/>
          <w:lang w:val="en-US"/>
        </w:rPr>
        <w:t xml:space="preserve"> or </w:t>
      </w:r>
      <w:r w:rsidR="005D209C">
        <w:rPr>
          <w:rFonts w:ascii="Verdana" w:hAnsi="Verdana"/>
          <w:sz w:val="22"/>
          <w:szCs w:val="22"/>
          <w:lang w:val="en-US"/>
        </w:rPr>
        <w:t>distribution at £33.74</w:t>
      </w:r>
      <w:r w:rsidR="005A0417">
        <w:rPr>
          <w:rFonts w:ascii="Verdana" w:hAnsi="Verdana"/>
          <w:sz w:val="22"/>
          <w:szCs w:val="22"/>
          <w:lang w:val="en-US"/>
        </w:rPr>
        <w:t xml:space="preserve"> per </w:t>
      </w:r>
      <w:proofErr w:type="spellStart"/>
      <w:r w:rsidR="005A0417">
        <w:rPr>
          <w:rFonts w:ascii="Verdana" w:hAnsi="Verdana"/>
          <w:sz w:val="22"/>
          <w:szCs w:val="22"/>
          <w:lang w:val="en-US"/>
        </w:rPr>
        <w:t>sq.m</w:t>
      </w:r>
      <w:proofErr w:type="spellEnd"/>
      <w:r w:rsidR="005D209C">
        <w:rPr>
          <w:rFonts w:ascii="Verdana" w:hAnsi="Verdana"/>
          <w:sz w:val="22"/>
          <w:szCs w:val="22"/>
          <w:lang w:val="en-US"/>
        </w:rPr>
        <w:t xml:space="preserve"> but to increase the rate for offices and R&amp;D development to £168.74</w:t>
      </w:r>
      <w:r w:rsidR="005A0417">
        <w:rPr>
          <w:rFonts w:ascii="Verdana" w:hAnsi="Verdana"/>
          <w:sz w:val="22"/>
          <w:szCs w:val="22"/>
          <w:lang w:val="en-US"/>
        </w:rPr>
        <w:t xml:space="preserve"> per </w:t>
      </w:r>
      <w:proofErr w:type="spellStart"/>
      <w:r w:rsidR="005A0417">
        <w:rPr>
          <w:rFonts w:ascii="Verdana" w:hAnsi="Verdana"/>
          <w:sz w:val="22"/>
          <w:szCs w:val="22"/>
          <w:lang w:val="en-US"/>
        </w:rPr>
        <w:t>sq.m</w:t>
      </w:r>
      <w:proofErr w:type="spellEnd"/>
      <w:r w:rsidR="005D209C">
        <w:rPr>
          <w:rFonts w:ascii="Verdana" w:hAnsi="Verdana"/>
          <w:sz w:val="22"/>
          <w:szCs w:val="22"/>
          <w:lang w:val="en-US"/>
        </w:rPr>
        <w:t xml:space="preserve"> as per the </w:t>
      </w:r>
      <w:r w:rsidR="005628C4">
        <w:rPr>
          <w:rFonts w:ascii="Verdana" w:hAnsi="Verdana"/>
          <w:sz w:val="22"/>
          <w:szCs w:val="22"/>
          <w:lang w:val="en-US"/>
        </w:rPr>
        <w:t>2023</w:t>
      </w:r>
      <w:r w:rsidR="005A0417">
        <w:rPr>
          <w:rFonts w:ascii="Verdana" w:hAnsi="Verdana"/>
          <w:sz w:val="22"/>
          <w:szCs w:val="22"/>
          <w:lang w:val="en-US"/>
        </w:rPr>
        <w:t>/2024</w:t>
      </w:r>
      <w:r w:rsidR="005628C4">
        <w:rPr>
          <w:rFonts w:ascii="Verdana" w:hAnsi="Verdana"/>
          <w:sz w:val="22"/>
          <w:szCs w:val="22"/>
          <w:lang w:val="en-US"/>
        </w:rPr>
        <w:t xml:space="preserve"> </w:t>
      </w:r>
      <w:r w:rsidR="005A0417">
        <w:rPr>
          <w:rFonts w:ascii="Verdana" w:hAnsi="Verdana"/>
          <w:sz w:val="22"/>
          <w:szCs w:val="22"/>
          <w:lang w:val="en-US"/>
        </w:rPr>
        <w:t>partial review</w:t>
      </w:r>
      <w:r w:rsidR="005628C4">
        <w:rPr>
          <w:rFonts w:ascii="Verdana" w:hAnsi="Verdana"/>
          <w:sz w:val="22"/>
          <w:szCs w:val="22"/>
          <w:lang w:val="en-US"/>
        </w:rPr>
        <w:t xml:space="preserve"> consultation.</w:t>
      </w:r>
      <w:r w:rsidR="005D209C">
        <w:rPr>
          <w:rFonts w:ascii="Verdana" w:hAnsi="Verdana"/>
          <w:sz w:val="22"/>
          <w:szCs w:val="22"/>
          <w:lang w:val="en-US"/>
        </w:rPr>
        <w:t xml:space="preserve">  </w:t>
      </w:r>
    </w:p>
    <w:p w14:paraId="64B99EDB" w14:textId="77777777" w:rsidR="00D8161F" w:rsidRDefault="00D8161F" w:rsidP="00D8161F">
      <w:pPr>
        <w:pStyle w:val="ListParagraph"/>
        <w:rPr>
          <w:szCs w:val="22"/>
          <w:lang w:val="en-US"/>
        </w:rPr>
      </w:pPr>
    </w:p>
    <w:p w14:paraId="1F031FF6" w14:textId="77777777" w:rsidR="00D14A1D" w:rsidRPr="00D14A1D" w:rsidRDefault="00D8161F" w:rsidP="00D14A1D">
      <w:pPr>
        <w:pStyle w:val="Default"/>
        <w:numPr>
          <w:ilvl w:val="0"/>
          <w:numId w:val="36"/>
        </w:numPr>
        <w:pBdr>
          <w:top w:val="nil"/>
          <w:left w:val="nil"/>
          <w:bottom w:val="nil"/>
          <w:right w:val="nil"/>
          <w:between w:val="nil"/>
          <w:bar w:val="nil"/>
        </w:pBdr>
        <w:autoSpaceDE/>
        <w:autoSpaceDN/>
        <w:adjustRightInd/>
        <w:rPr>
          <w:rFonts w:ascii="Verdana" w:hAnsi="Verdana"/>
          <w:sz w:val="22"/>
          <w:szCs w:val="22"/>
        </w:rPr>
      </w:pPr>
      <w:r w:rsidRPr="00D14A1D">
        <w:rPr>
          <w:rFonts w:ascii="Verdana" w:hAnsi="Verdana"/>
          <w:sz w:val="22"/>
          <w:szCs w:val="22"/>
          <w:lang w:val="en-US"/>
        </w:rPr>
        <w:t xml:space="preserve">As the only rates that are being proposed for revision </w:t>
      </w:r>
      <w:r w:rsidR="005628C4" w:rsidRPr="00D14A1D">
        <w:rPr>
          <w:rFonts w:ascii="Verdana" w:hAnsi="Verdana"/>
          <w:sz w:val="22"/>
          <w:szCs w:val="22"/>
          <w:lang w:val="en-US"/>
        </w:rPr>
        <w:t xml:space="preserve">in this partial review </w:t>
      </w:r>
      <w:r w:rsidRPr="00D14A1D">
        <w:rPr>
          <w:rFonts w:ascii="Verdana" w:hAnsi="Verdana"/>
          <w:sz w:val="22"/>
          <w:szCs w:val="22"/>
          <w:lang w:val="en-US"/>
        </w:rPr>
        <w:t>are those relating to office and R&amp;D developments, this examination and report deals solely with the office and R&amp;D CIL rate</w:t>
      </w:r>
      <w:r w:rsidR="00D14A1D">
        <w:rPr>
          <w:rFonts w:ascii="Verdana" w:hAnsi="Verdana"/>
          <w:sz w:val="22"/>
          <w:szCs w:val="22"/>
          <w:lang w:val="en-US"/>
        </w:rPr>
        <w:t>.</w:t>
      </w:r>
    </w:p>
    <w:p w14:paraId="55EDE321" w14:textId="77777777" w:rsidR="00D14A1D" w:rsidRPr="00D14A1D" w:rsidRDefault="00D14A1D" w:rsidP="00D14A1D">
      <w:pPr>
        <w:pStyle w:val="ListParagraph"/>
        <w:rPr>
          <w:szCs w:val="22"/>
          <w:lang w:val="en-US"/>
        </w:rPr>
      </w:pPr>
    </w:p>
    <w:p w14:paraId="49AF1283" w14:textId="3EA0F68E" w:rsidR="00D14A1D" w:rsidRPr="00D14A1D" w:rsidRDefault="00D14A1D" w:rsidP="00D14A1D">
      <w:pPr>
        <w:pStyle w:val="Default"/>
        <w:numPr>
          <w:ilvl w:val="0"/>
          <w:numId w:val="36"/>
        </w:numPr>
        <w:pBdr>
          <w:top w:val="nil"/>
          <w:left w:val="nil"/>
          <w:bottom w:val="nil"/>
          <w:right w:val="nil"/>
          <w:between w:val="nil"/>
          <w:bar w:val="nil"/>
        </w:pBdr>
        <w:autoSpaceDE/>
        <w:autoSpaceDN/>
        <w:adjustRightInd/>
        <w:rPr>
          <w:rFonts w:ascii="Verdana" w:hAnsi="Verdana" w:cs="Arial"/>
          <w:sz w:val="22"/>
          <w:szCs w:val="22"/>
        </w:rPr>
      </w:pPr>
      <w:r w:rsidRPr="00D14A1D">
        <w:rPr>
          <w:rFonts w:ascii="Verdana" w:hAnsi="Verdana" w:cs="Arial"/>
          <w:sz w:val="22"/>
          <w:szCs w:val="22"/>
          <w:lang w:val="en-US"/>
        </w:rPr>
        <w:t xml:space="preserve">Between 10 November 2023 and 5 January 2024 a consultation exercise was </w:t>
      </w:r>
      <w:r w:rsidR="00520C7C" w:rsidRPr="00D14A1D">
        <w:rPr>
          <w:rFonts w:ascii="Verdana" w:hAnsi="Verdana" w:cs="Arial"/>
          <w:sz w:val="22"/>
          <w:szCs w:val="22"/>
          <w:lang w:val="en-US"/>
        </w:rPr>
        <w:t>conducted</w:t>
      </w:r>
      <w:r w:rsidRPr="00D14A1D">
        <w:rPr>
          <w:rFonts w:ascii="Verdana" w:hAnsi="Verdana" w:cs="Arial"/>
          <w:sz w:val="22"/>
          <w:szCs w:val="22"/>
          <w:lang w:val="en-US"/>
        </w:rPr>
        <w:t xml:space="preserve"> on a partial review of the Oxford City CIL.  This exercise produced </w:t>
      </w:r>
      <w:r w:rsidR="008E61F6">
        <w:rPr>
          <w:rFonts w:ascii="Verdana" w:hAnsi="Verdana" w:cs="Arial"/>
          <w:sz w:val="22"/>
          <w:szCs w:val="22"/>
          <w:lang w:val="en-US"/>
        </w:rPr>
        <w:t>19</w:t>
      </w:r>
      <w:r w:rsidRPr="00D14A1D">
        <w:rPr>
          <w:rFonts w:ascii="Verdana" w:hAnsi="Verdana" w:cs="Arial"/>
          <w:sz w:val="22"/>
          <w:szCs w:val="22"/>
          <w:lang w:val="en-US"/>
        </w:rPr>
        <w:t xml:space="preserve"> </w:t>
      </w:r>
      <w:r w:rsidR="008E61F6">
        <w:rPr>
          <w:rFonts w:ascii="Verdana" w:hAnsi="Verdana" w:cs="Arial"/>
          <w:sz w:val="22"/>
          <w:szCs w:val="22"/>
          <w:lang w:val="en-US"/>
        </w:rPr>
        <w:t>representations</w:t>
      </w:r>
      <w:r w:rsidRPr="00D14A1D">
        <w:rPr>
          <w:rFonts w:ascii="Verdana" w:hAnsi="Verdana" w:cs="Arial"/>
          <w:sz w:val="22"/>
          <w:szCs w:val="22"/>
          <w:lang w:val="en-US"/>
        </w:rPr>
        <w:t xml:space="preserve">.  As a consequence of the responses a Statement of Modifications was produced. </w:t>
      </w:r>
      <w:r>
        <w:rPr>
          <w:rFonts w:ascii="Verdana" w:hAnsi="Verdana" w:cs="Arial"/>
          <w:sz w:val="22"/>
          <w:szCs w:val="22"/>
          <w:lang w:val="en-US"/>
        </w:rPr>
        <w:t xml:space="preserve"> </w:t>
      </w:r>
      <w:r w:rsidRPr="00D14A1D">
        <w:rPr>
          <w:rFonts w:ascii="Verdana" w:hAnsi="Verdana" w:cs="Arial"/>
          <w:sz w:val="22"/>
          <w:szCs w:val="22"/>
          <w:lang w:val="en-US"/>
        </w:rPr>
        <w:t xml:space="preserve">The modification statement was published for consultation between 12 February 2025 and 12 March 2025. </w:t>
      </w:r>
      <w:r>
        <w:rPr>
          <w:rFonts w:ascii="Verdana" w:hAnsi="Verdana" w:cs="Arial"/>
          <w:sz w:val="22"/>
          <w:szCs w:val="22"/>
          <w:lang w:val="en-US"/>
        </w:rPr>
        <w:t xml:space="preserve"> </w:t>
      </w:r>
      <w:r w:rsidRPr="00D14A1D">
        <w:rPr>
          <w:rFonts w:ascii="Verdana" w:hAnsi="Verdana" w:cs="Arial"/>
          <w:sz w:val="22"/>
          <w:szCs w:val="22"/>
          <w:lang w:val="en-US"/>
        </w:rPr>
        <w:t xml:space="preserve">All parties who </w:t>
      </w:r>
      <w:r w:rsidRPr="00D14A1D">
        <w:rPr>
          <w:rFonts w:ascii="Verdana" w:hAnsi="Verdana" w:cs="Arial"/>
          <w:sz w:val="22"/>
          <w:szCs w:val="22"/>
          <w:lang w:val="en-US"/>
        </w:rPr>
        <w:lastRenderedPageBreak/>
        <w:t xml:space="preserve">responded to the November 2023 – January 2024 consultation were notified of the modification statement </w:t>
      </w:r>
      <w:r w:rsidR="00520C7C" w:rsidRPr="00D14A1D">
        <w:rPr>
          <w:rFonts w:ascii="Verdana" w:hAnsi="Verdana" w:cs="Arial"/>
          <w:sz w:val="22"/>
          <w:szCs w:val="22"/>
          <w:lang w:val="en-US"/>
        </w:rPr>
        <w:t>consultation;</w:t>
      </w:r>
      <w:r w:rsidRPr="00D14A1D">
        <w:rPr>
          <w:rFonts w:ascii="Verdana" w:hAnsi="Verdana" w:cs="Arial"/>
          <w:sz w:val="22"/>
          <w:szCs w:val="22"/>
          <w:lang w:val="en-US"/>
        </w:rPr>
        <w:t xml:space="preserve"> 1 response was received.</w:t>
      </w:r>
      <w:r w:rsidR="00DC7C29">
        <w:rPr>
          <w:rStyle w:val="FootnoteReference"/>
          <w:rFonts w:ascii="Verdana" w:hAnsi="Verdana" w:cs="Arial"/>
          <w:sz w:val="22"/>
          <w:szCs w:val="22"/>
          <w:lang w:val="en-US"/>
        </w:rPr>
        <w:footnoteReference w:id="9"/>
      </w:r>
      <w:r w:rsidRPr="00D14A1D">
        <w:rPr>
          <w:rFonts w:ascii="Verdana" w:hAnsi="Verdana" w:cs="Arial"/>
          <w:sz w:val="22"/>
          <w:szCs w:val="22"/>
          <w:lang w:val="en-US"/>
        </w:rPr>
        <w:t xml:space="preserve">        </w:t>
      </w:r>
    </w:p>
    <w:p w14:paraId="4D3D201F" w14:textId="77777777" w:rsidR="0041287B" w:rsidRDefault="0041287B" w:rsidP="0041287B">
      <w:pPr>
        <w:spacing w:after="120"/>
        <w:ind w:left="0" w:firstLine="0"/>
        <w:jc w:val="left"/>
        <w:rPr>
          <w:b/>
          <w:bCs/>
          <w:color w:val="0B0C0C"/>
          <w:szCs w:val="22"/>
        </w:rPr>
      </w:pPr>
    </w:p>
    <w:p w14:paraId="46740A52" w14:textId="3B46E38F" w:rsidR="00582BD2" w:rsidRPr="0041287B" w:rsidRDefault="00EB6300" w:rsidP="008A3134">
      <w:pPr>
        <w:pStyle w:val="Heading2"/>
        <w:ind w:left="0" w:firstLine="0"/>
        <w:jc w:val="left"/>
        <w:rPr>
          <w:rFonts w:eastAsia="Times New Roman" w:cs="Times New Roman"/>
          <w:sz w:val="22"/>
        </w:rPr>
      </w:pPr>
      <w:bookmarkStart w:id="3" w:name="_Toc196226487"/>
      <w:r w:rsidRPr="009161FE">
        <w:t xml:space="preserve">Has the charging authority complied with the legislative requirements set out in the </w:t>
      </w:r>
      <w:r w:rsidR="00DC71A3">
        <w:t>A</w:t>
      </w:r>
      <w:r w:rsidR="0041287B">
        <w:t>ct</w:t>
      </w:r>
      <w:r w:rsidR="00DC71A3">
        <w:t xml:space="preserve"> and</w:t>
      </w:r>
      <w:r w:rsidR="009161FE">
        <w:t xml:space="preserve"> the </w:t>
      </w:r>
      <w:r w:rsidRPr="009161FE">
        <w:t>Regulations</w:t>
      </w:r>
      <w:r w:rsidR="009161FE">
        <w:t>,</w:t>
      </w:r>
      <w:r w:rsidR="009161FE" w:rsidRPr="009161FE">
        <w:t xml:space="preserve"> including undertaking an appropriate level of consultation</w:t>
      </w:r>
      <w:r w:rsidR="009161FE">
        <w:t>?</w:t>
      </w:r>
      <w:bookmarkEnd w:id="3"/>
    </w:p>
    <w:p w14:paraId="50FECD82" w14:textId="625BBE59" w:rsidR="005237F9" w:rsidRDefault="005237F9" w:rsidP="005237F9">
      <w:pPr>
        <w:pStyle w:val="Default"/>
        <w:ind w:left="393"/>
        <w:rPr>
          <w:rFonts w:ascii="Verdana" w:eastAsia="Verdana" w:hAnsi="Verdana" w:cs="Verdana"/>
          <w:sz w:val="22"/>
          <w:szCs w:val="22"/>
        </w:rPr>
      </w:pPr>
    </w:p>
    <w:p w14:paraId="5D8AB9A8" w14:textId="132E8403" w:rsidR="009365D7" w:rsidRPr="009365D7" w:rsidRDefault="00582BD2" w:rsidP="009365D7">
      <w:pPr>
        <w:pStyle w:val="Default"/>
        <w:numPr>
          <w:ilvl w:val="0"/>
          <w:numId w:val="36"/>
        </w:numPr>
        <w:rPr>
          <w:rFonts w:ascii="Verdana" w:eastAsia="Verdana" w:hAnsi="Verdana" w:cs="Verdana"/>
          <w:sz w:val="22"/>
          <w:szCs w:val="22"/>
        </w:rPr>
      </w:pPr>
      <w:r w:rsidRPr="00AC3ABB">
        <w:rPr>
          <w:rFonts w:ascii="Verdana" w:hAnsi="Verdana"/>
          <w:sz w:val="22"/>
          <w:szCs w:val="22"/>
          <w:lang w:val="en-US"/>
        </w:rPr>
        <w:t>The Charging Schedule complies with the Act and the Regulations, including in respect of the statutory processes and public consultation, consistency with the adopted Local Plan and the Infrastructure Delivery Plan</w:t>
      </w:r>
      <w:r w:rsidR="00C86FF3" w:rsidRPr="00AC3ABB">
        <w:rPr>
          <w:rFonts w:ascii="Verdana" w:hAnsi="Verdana"/>
          <w:sz w:val="22"/>
          <w:szCs w:val="22"/>
          <w:lang w:val="en-US"/>
        </w:rPr>
        <w:t>,</w:t>
      </w:r>
      <w:r w:rsidRPr="00AC3ABB">
        <w:rPr>
          <w:rFonts w:ascii="Verdana" w:hAnsi="Verdana"/>
          <w:sz w:val="22"/>
          <w:szCs w:val="22"/>
          <w:lang w:val="en-US"/>
        </w:rPr>
        <w:t xml:space="preserve"> and is supported by an adequate financial</w:t>
      </w:r>
      <w:r w:rsidRPr="00520373">
        <w:rPr>
          <w:rFonts w:ascii="Verdana" w:hAnsi="Verdana"/>
          <w:sz w:val="22"/>
          <w:szCs w:val="22"/>
        </w:rPr>
        <w:t xml:space="preserve"> appraisal</w:t>
      </w:r>
      <w:r w:rsidRPr="00AC3ABB">
        <w:rPr>
          <w:rFonts w:ascii="Verdana" w:hAnsi="Verdana"/>
          <w:sz w:val="22"/>
          <w:szCs w:val="22"/>
          <w:lang w:val="fr-FR"/>
        </w:rPr>
        <w:t>.</w:t>
      </w:r>
      <w:r w:rsidR="009365D7">
        <w:rPr>
          <w:rFonts w:ascii="Verdana" w:eastAsia="Verdana" w:hAnsi="Verdana" w:cs="Verdana"/>
          <w:sz w:val="22"/>
          <w:szCs w:val="22"/>
        </w:rPr>
        <w:t xml:space="preserve"> I also consider it compliant with the national policy and guidance contained in the NPPF and PPG respectively.</w:t>
      </w:r>
    </w:p>
    <w:p w14:paraId="782EEFFA" w14:textId="77777777" w:rsidR="00582BD2" w:rsidRPr="00AC3ABB" w:rsidRDefault="00582BD2" w:rsidP="0041287B">
      <w:pPr>
        <w:pStyle w:val="Default"/>
        <w:spacing w:after="120"/>
        <w:rPr>
          <w:rFonts w:ascii="Verdana" w:hAnsi="Verdana"/>
          <w:b/>
          <w:bCs/>
          <w:sz w:val="22"/>
          <w:szCs w:val="22"/>
          <w:lang w:val="en-US"/>
        </w:rPr>
      </w:pPr>
    </w:p>
    <w:p w14:paraId="0CB1BFBA" w14:textId="15B504C4" w:rsidR="005410D3" w:rsidRPr="00AC3ABB" w:rsidRDefault="005410D3" w:rsidP="008A3134">
      <w:pPr>
        <w:pStyle w:val="Heading2"/>
        <w:ind w:left="0" w:firstLine="0"/>
        <w:rPr>
          <w:rFonts w:eastAsia="Verdana" w:cs="Verdana"/>
        </w:rPr>
      </w:pPr>
      <w:bookmarkStart w:id="4" w:name="_Toc196226488"/>
      <w:r w:rsidRPr="00AC3ABB">
        <w:rPr>
          <w:lang w:val="en-US"/>
        </w:rPr>
        <w:t xml:space="preserve">Is the </w:t>
      </w:r>
      <w:r w:rsidR="0012758B" w:rsidRPr="00AC3ABB">
        <w:rPr>
          <w:lang w:val="en-US"/>
        </w:rPr>
        <w:t xml:space="preserve">draft </w:t>
      </w:r>
      <w:r w:rsidRPr="00AC3ABB">
        <w:rPr>
          <w:lang w:val="en-US"/>
        </w:rPr>
        <w:t xml:space="preserve">charging schedule supported by background documents containing appropriate </w:t>
      </w:r>
      <w:proofErr w:type="spellStart"/>
      <w:r w:rsidRPr="00AC3ABB">
        <w:rPr>
          <w:lang w:val="fr-FR"/>
        </w:rPr>
        <w:t>available</w:t>
      </w:r>
      <w:proofErr w:type="spellEnd"/>
      <w:r w:rsidR="00AC3ABB" w:rsidRPr="00AC3ABB">
        <w:rPr>
          <w:lang w:val="fr-FR"/>
        </w:rPr>
        <w:t xml:space="preserve"> </w:t>
      </w:r>
      <w:proofErr w:type="spellStart"/>
      <w:r w:rsidRPr="00AC3ABB">
        <w:rPr>
          <w:lang w:val="fr-FR"/>
        </w:rPr>
        <w:t>evidence</w:t>
      </w:r>
      <w:proofErr w:type="spellEnd"/>
      <w:r w:rsidRPr="00AC3ABB">
        <w:rPr>
          <w:lang w:val="fr-FR"/>
        </w:rPr>
        <w:t>?</w:t>
      </w:r>
      <w:bookmarkEnd w:id="4"/>
    </w:p>
    <w:p w14:paraId="1A14EE68" w14:textId="77777777" w:rsidR="005410D3" w:rsidRPr="00AC3ABB" w:rsidRDefault="005410D3" w:rsidP="005410D3">
      <w:pPr>
        <w:pStyle w:val="Default"/>
        <w:rPr>
          <w:rFonts w:ascii="Verdana" w:eastAsia="Verdana" w:hAnsi="Verdana" w:cs="Verdana"/>
          <w:sz w:val="22"/>
          <w:szCs w:val="22"/>
        </w:rPr>
      </w:pPr>
    </w:p>
    <w:p w14:paraId="7D2B6DC4" w14:textId="7EF2F60D" w:rsidR="00C256BE" w:rsidRDefault="00C256BE" w:rsidP="008A3134">
      <w:pPr>
        <w:pStyle w:val="Heading3"/>
        <w:rPr>
          <w:b/>
        </w:rPr>
      </w:pPr>
      <w:bookmarkStart w:id="5" w:name="_Toc196226489"/>
      <w:r w:rsidRPr="002C268F">
        <w:t xml:space="preserve">Infrastructure </w:t>
      </w:r>
      <w:r w:rsidR="00872099">
        <w:t>P</w:t>
      </w:r>
      <w:r w:rsidRPr="002C268F">
        <w:t xml:space="preserve">lanning </w:t>
      </w:r>
      <w:r w:rsidR="00872099">
        <w:t>E</w:t>
      </w:r>
      <w:r w:rsidRPr="002C268F">
        <w:t>vidence</w:t>
      </w:r>
      <w:bookmarkEnd w:id="5"/>
    </w:p>
    <w:p w14:paraId="1CE6FABB" w14:textId="77777777" w:rsidR="0041287B" w:rsidRPr="002C268F" w:rsidRDefault="0041287B" w:rsidP="0041287B">
      <w:pPr>
        <w:pStyle w:val="DPDIntro"/>
        <w:widowControl w:val="0"/>
        <w:spacing w:after="0"/>
        <w:rPr>
          <w:b w:val="0"/>
          <w:i/>
        </w:rPr>
      </w:pPr>
    </w:p>
    <w:p w14:paraId="6ECD4CB3" w14:textId="23FDD0E5" w:rsidR="00C256BE" w:rsidRDefault="007D07BB" w:rsidP="0041287B">
      <w:pPr>
        <w:pStyle w:val="DPDIntro"/>
        <w:widowControl w:val="0"/>
        <w:numPr>
          <w:ilvl w:val="0"/>
          <w:numId w:val="36"/>
        </w:numPr>
        <w:spacing w:after="0"/>
        <w:rPr>
          <w:b w:val="0"/>
        </w:rPr>
      </w:pPr>
      <w:r>
        <w:rPr>
          <w:b w:val="0"/>
        </w:rPr>
        <w:t xml:space="preserve">The existing Oxford Local Plan 2016 – 2036 is scheduled to be updated.  </w:t>
      </w:r>
      <w:r w:rsidR="00D8161F">
        <w:rPr>
          <w:b w:val="0"/>
        </w:rPr>
        <w:t xml:space="preserve">Evidence relating to infrastructure and the funding required was prepared for the </w:t>
      </w:r>
      <w:r>
        <w:rPr>
          <w:b w:val="0"/>
        </w:rPr>
        <w:t xml:space="preserve">updating of the </w:t>
      </w:r>
      <w:r w:rsidR="009841D8">
        <w:rPr>
          <w:b w:val="0"/>
        </w:rPr>
        <w:t>L</w:t>
      </w:r>
      <w:r>
        <w:rPr>
          <w:b w:val="0"/>
        </w:rPr>
        <w:t xml:space="preserve">ocal </w:t>
      </w:r>
      <w:r w:rsidR="009841D8">
        <w:rPr>
          <w:b w:val="0"/>
        </w:rPr>
        <w:t>P</w:t>
      </w:r>
      <w:r>
        <w:rPr>
          <w:b w:val="0"/>
        </w:rPr>
        <w:t>lan.</w:t>
      </w:r>
      <w:r w:rsidR="00D8161F">
        <w:rPr>
          <w:b w:val="0"/>
        </w:rPr>
        <w:t xml:space="preserve">  </w:t>
      </w:r>
      <w:r w:rsidR="00F74E5A">
        <w:rPr>
          <w:b w:val="0"/>
        </w:rPr>
        <w:t xml:space="preserve">The </w:t>
      </w:r>
      <w:r>
        <w:rPr>
          <w:b w:val="0"/>
        </w:rPr>
        <w:t xml:space="preserve">updated </w:t>
      </w:r>
      <w:r w:rsidR="009841D8">
        <w:rPr>
          <w:b w:val="0"/>
        </w:rPr>
        <w:t>L</w:t>
      </w:r>
      <w:r w:rsidR="00F74E5A">
        <w:rPr>
          <w:b w:val="0"/>
        </w:rPr>
        <w:t xml:space="preserve">ocal </w:t>
      </w:r>
      <w:r w:rsidR="009841D8">
        <w:rPr>
          <w:b w:val="0"/>
        </w:rPr>
        <w:t>P</w:t>
      </w:r>
      <w:r w:rsidR="00F74E5A">
        <w:rPr>
          <w:b w:val="0"/>
        </w:rPr>
        <w:t xml:space="preserve">lan </w:t>
      </w:r>
      <w:r>
        <w:rPr>
          <w:b w:val="0"/>
        </w:rPr>
        <w:t>w</w:t>
      </w:r>
      <w:r w:rsidR="00A97358">
        <w:rPr>
          <w:b w:val="0"/>
        </w:rPr>
        <w:t>as</w:t>
      </w:r>
      <w:r>
        <w:rPr>
          <w:b w:val="0"/>
        </w:rPr>
        <w:t xml:space="preserve"> submitted</w:t>
      </w:r>
      <w:r w:rsidR="00A97358">
        <w:rPr>
          <w:b w:val="0"/>
        </w:rPr>
        <w:t xml:space="preserve"> to the Secretary of State</w:t>
      </w:r>
      <w:r>
        <w:rPr>
          <w:b w:val="0"/>
        </w:rPr>
        <w:t xml:space="preserve"> for examination but </w:t>
      </w:r>
      <w:r w:rsidR="00F74E5A">
        <w:rPr>
          <w:b w:val="0"/>
        </w:rPr>
        <w:t>has now been withdrawn</w:t>
      </w:r>
      <w:r w:rsidR="00224684">
        <w:rPr>
          <w:b w:val="0"/>
        </w:rPr>
        <w:t xml:space="preserve"> for reasons relating to housing and the duty to</w:t>
      </w:r>
      <w:r>
        <w:rPr>
          <w:b w:val="0"/>
        </w:rPr>
        <w:t xml:space="preserve"> </w:t>
      </w:r>
      <w:r w:rsidR="00224684">
        <w:rPr>
          <w:b w:val="0"/>
        </w:rPr>
        <w:t>co-operate.</w:t>
      </w:r>
      <w:r w:rsidR="00F74E5A">
        <w:rPr>
          <w:b w:val="0"/>
        </w:rPr>
        <w:t xml:space="preserve"> </w:t>
      </w:r>
      <w:r>
        <w:rPr>
          <w:b w:val="0"/>
        </w:rPr>
        <w:t xml:space="preserve">For the purposes of the updated </w:t>
      </w:r>
      <w:r w:rsidR="009841D8">
        <w:rPr>
          <w:b w:val="0"/>
        </w:rPr>
        <w:t>L</w:t>
      </w:r>
      <w:r>
        <w:rPr>
          <w:b w:val="0"/>
        </w:rPr>
        <w:t xml:space="preserve">ocal </w:t>
      </w:r>
      <w:r w:rsidR="009841D8">
        <w:rPr>
          <w:b w:val="0"/>
        </w:rPr>
        <w:t>P</w:t>
      </w:r>
      <w:r>
        <w:rPr>
          <w:b w:val="0"/>
        </w:rPr>
        <w:t>lan examination</w:t>
      </w:r>
      <w:r w:rsidR="00EE3CDC">
        <w:rPr>
          <w:b w:val="0"/>
        </w:rPr>
        <w:t>,</w:t>
      </w:r>
      <w:r>
        <w:rPr>
          <w:b w:val="0"/>
        </w:rPr>
        <w:t xml:space="preserve"> a</w:t>
      </w:r>
      <w:r w:rsidR="00D8161F">
        <w:rPr>
          <w:b w:val="0"/>
        </w:rPr>
        <w:t>s at October 2023</w:t>
      </w:r>
      <w:r w:rsidR="00EE3CDC">
        <w:rPr>
          <w:b w:val="0"/>
        </w:rPr>
        <w:t>,</w:t>
      </w:r>
      <w:r w:rsidR="00D8161F">
        <w:rPr>
          <w:b w:val="0"/>
        </w:rPr>
        <w:t xml:space="preserve"> the Council estimate</w:t>
      </w:r>
      <w:r>
        <w:rPr>
          <w:b w:val="0"/>
        </w:rPr>
        <w:t>d</w:t>
      </w:r>
      <w:r w:rsidR="00D8161F">
        <w:rPr>
          <w:b w:val="0"/>
        </w:rPr>
        <w:t xml:space="preserve"> that there is a</w:t>
      </w:r>
      <w:r w:rsidR="00E743B5">
        <w:rPr>
          <w:b w:val="0"/>
        </w:rPr>
        <w:t xml:space="preserve">n infrastructure </w:t>
      </w:r>
      <w:r w:rsidR="00D8161F">
        <w:rPr>
          <w:b w:val="0"/>
        </w:rPr>
        <w:t xml:space="preserve">funding gap of </w:t>
      </w:r>
      <w:r w:rsidR="00E743B5">
        <w:rPr>
          <w:b w:val="0"/>
        </w:rPr>
        <w:t>over £950,000,000.  Assuming a CIL of £168.74</w:t>
      </w:r>
      <w:r w:rsidR="00A97358">
        <w:rPr>
          <w:b w:val="0"/>
        </w:rPr>
        <w:t xml:space="preserve"> per </w:t>
      </w:r>
      <w:proofErr w:type="spellStart"/>
      <w:r w:rsidR="00A97358">
        <w:rPr>
          <w:b w:val="0"/>
        </w:rPr>
        <w:t>sq.m</w:t>
      </w:r>
      <w:proofErr w:type="spellEnd"/>
      <w:r w:rsidR="00E743B5">
        <w:rPr>
          <w:b w:val="0"/>
        </w:rPr>
        <w:t xml:space="preserve"> </w:t>
      </w:r>
      <w:r w:rsidR="00F61883">
        <w:rPr>
          <w:b w:val="0"/>
        </w:rPr>
        <w:t>for office</w:t>
      </w:r>
      <w:r w:rsidR="00A97358">
        <w:rPr>
          <w:b w:val="0"/>
        </w:rPr>
        <w:t xml:space="preserve"> and </w:t>
      </w:r>
      <w:r w:rsidR="00F61883">
        <w:rPr>
          <w:b w:val="0"/>
        </w:rPr>
        <w:t xml:space="preserve">R&amp;D development </w:t>
      </w:r>
      <w:r w:rsidR="00E743B5">
        <w:rPr>
          <w:b w:val="0"/>
        </w:rPr>
        <w:t xml:space="preserve">and based on information regarding anticipated developments as outlined in the emerging </w:t>
      </w:r>
      <w:r w:rsidR="009841D8">
        <w:rPr>
          <w:b w:val="0"/>
        </w:rPr>
        <w:t>L</w:t>
      </w:r>
      <w:r w:rsidR="00E743B5">
        <w:rPr>
          <w:b w:val="0"/>
        </w:rPr>
        <w:t xml:space="preserve">ocal </w:t>
      </w:r>
      <w:r w:rsidR="009841D8">
        <w:rPr>
          <w:b w:val="0"/>
        </w:rPr>
        <w:t>P</w:t>
      </w:r>
      <w:r w:rsidR="00E743B5">
        <w:rPr>
          <w:b w:val="0"/>
        </w:rPr>
        <w:t xml:space="preserve">lan, the Council expects office development to generate approaching £13,000,000 and R&amp;D development to generate nearly </w:t>
      </w:r>
      <w:r w:rsidR="005628C4">
        <w:rPr>
          <w:b w:val="0"/>
        </w:rPr>
        <w:t>£</w:t>
      </w:r>
      <w:r w:rsidR="00E743B5">
        <w:rPr>
          <w:b w:val="0"/>
        </w:rPr>
        <w:t>23,000,000.  There is no challenge to the scale of the infrastructure gap or the clear need for a CIL in Oxford.  The proposed increased charge</w:t>
      </w:r>
      <w:r w:rsidR="00F64BE0">
        <w:rPr>
          <w:b w:val="0"/>
        </w:rPr>
        <w:t>s</w:t>
      </w:r>
      <w:r w:rsidR="00E743B5">
        <w:rPr>
          <w:b w:val="0"/>
        </w:rPr>
        <w:t xml:space="preserve"> </w:t>
      </w:r>
      <w:r w:rsidR="00F64BE0">
        <w:rPr>
          <w:b w:val="0"/>
        </w:rPr>
        <w:t>are expected to make a limited but important contribution to filling the large infrastructure funding gap.</w:t>
      </w:r>
      <w:r w:rsidR="00E743B5">
        <w:rPr>
          <w:b w:val="0"/>
        </w:rPr>
        <w:t xml:space="preserve"> </w:t>
      </w:r>
    </w:p>
    <w:p w14:paraId="43E51A53" w14:textId="77777777" w:rsidR="0041287B" w:rsidRDefault="0041287B" w:rsidP="0041287B">
      <w:pPr>
        <w:pStyle w:val="DPDIntro"/>
        <w:widowControl w:val="0"/>
        <w:spacing w:after="0"/>
        <w:ind w:left="393"/>
        <w:rPr>
          <w:b w:val="0"/>
        </w:rPr>
      </w:pPr>
    </w:p>
    <w:p w14:paraId="2F04E2F4" w14:textId="6A6F6456" w:rsidR="00C256BE" w:rsidRDefault="00C256BE" w:rsidP="008A3134">
      <w:pPr>
        <w:pStyle w:val="Heading3"/>
        <w:rPr>
          <w:b/>
        </w:rPr>
      </w:pPr>
      <w:bookmarkStart w:id="6" w:name="_Toc196226490"/>
      <w:r w:rsidRPr="002C268F">
        <w:t xml:space="preserve">Economic </w:t>
      </w:r>
      <w:r w:rsidR="00872099">
        <w:t>V</w:t>
      </w:r>
      <w:r w:rsidRPr="002C268F">
        <w:t xml:space="preserve">iability </w:t>
      </w:r>
      <w:r w:rsidR="00872099">
        <w:t>E</w:t>
      </w:r>
      <w:r w:rsidRPr="002C268F">
        <w:t>vidence</w:t>
      </w:r>
      <w:bookmarkEnd w:id="6"/>
      <w:r w:rsidRPr="002C268F">
        <w:t xml:space="preserve">  </w:t>
      </w:r>
    </w:p>
    <w:p w14:paraId="696480D5" w14:textId="77777777" w:rsidR="0041287B" w:rsidRPr="002C268F" w:rsidRDefault="0041287B" w:rsidP="0041287B">
      <w:pPr>
        <w:pStyle w:val="DPDIntro"/>
        <w:widowControl w:val="0"/>
        <w:spacing w:after="0"/>
        <w:rPr>
          <w:b w:val="0"/>
          <w:i/>
        </w:rPr>
      </w:pPr>
    </w:p>
    <w:p w14:paraId="24BDE153" w14:textId="252B0CBB" w:rsidR="00872099" w:rsidRPr="00235481" w:rsidRDefault="00C256BE" w:rsidP="000C77F4">
      <w:pPr>
        <w:pStyle w:val="DPDIntro"/>
        <w:widowControl w:val="0"/>
        <w:numPr>
          <w:ilvl w:val="0"/>
          <w:numId w:val="36"/>
        </w:numPr>
        <w:spacing w:after="0"/>
        <w:rPr>
          <w:b w:val="0"/>
        </w:rPr>
      </w:pPr>
      <w:r w:rsidRPr="00235481">
        <w:rPr>
          <w:b w:val="0"/>
        </w:rPr>
        <w:t xml:space="preserve">The Council commissioned </w:t>
      </w:r>
      <w:r w:rsidR="00F64BE0" w:rsidRPr="00235481">
        <w:rPr>
          <w:b w:val="0"/>
        </w:rPr>
        <w:t xml:space="preserve">BNP Paribas to undertake a </w:t>
      </w:r>
      <w:r w:rsidR="009841D8" w:rsidRPr="00235481">
        <w:rPr>
          <w:b w:val="0"/>
        </w:rPr>
        <w:t>L</w:t>
      </w:r>
      <w:r w:rsidR="00F64BE0" w:rsidRPr="00235481">
        <w:rPr>
          <w:b w:val="0"/>
        </w:rPr>
        <w:t xml:space="preserve">ocal </w:t>
      </w:r>
      <w:r w:rsidR="009841D8" w:rsidRPr="00235481">
        <w:rPr>
          <w:b w:val="0"/>
        </w:rPr>
        <w:t>P</w:t>
      </w:r>
      <w:r w:rsidR="00F64BE0" w:rsidRPr="00235481">
        <w:rPr>
          <w:b w:val="0"/>
        </w:rPr>
        <w:t>lan viability assessment (VA).  Included in this work was consideration of the need and scope for alternative CIL rates.  BNP Paribas produced their VA in July 2023.</w:t>
      </w:r>
      <w:r w:rsidR="00170205" w:rsidRPr="00235481">
        <w:rPr>
          <w:b w:val="0"/>
        </w:rPr>
        <w:t xml:space="preserve">  In the light of concerns raised in the consultation process that the testing of office</w:t>
      </w:r>
      <w:r w:rsidR="00A97358" w:rsidRPr="00235481">
        <w:rPr>
          <w:b w:val="0"/>
        </w:rPr>
        <w:t xml:space="preserve"> and </w:t>
      </w:r>
      <w:r w:rsidR="00170205" w:rsidRPr="00235481">
        <w:rPr>
          <w:b w:val="0"/>
        </w:rPr>
        <w:t xml:space="preserve">R&amp;D developments in the VA </w:t>
      </w:r>
      <w:r w:rsidR="00D81BF6" w:rsidRPr="00235481">
        <w:rPr>
          <w:b w:val="0"/>
        </w:rPr>
        <w:t>was</w:t>
      </w:r>
      <w:r w:rsidR="00170205" w:rsidRPr="00235481">
        <w:rPr>
          <w:b w:val="0"/>
        </w:rPr>
        <w:t xml:space="preserve"> not site-specific enough</w:t>
      </w:r>
      <w:r w:rsidR="0041287B" w:rsidRPr="00235481">
        <w:rPr>
          <w:b w:val="0"/>
        </w:rPr>
        <w:t>,</w:t>
      </w:r>
      <w:r w:rsidR="00170205" w:rsidRPr="00235481">
        <w:rPr>
          <w:b w:val="0"/>
        </w:rPr>
        <w:t xml:space="preserve"> </w:t>
      </w:r>
      <w:r w:rsidR="00D81BF6" w:rsidRPr="00235481">
        <w:rPr>
          <w:b w:val="0"/>
        </w:rPr>
        <w:t>further evidence was sought.</w:t>
      </w:r>
      <w:r w:rsidR="00F64BE0" w:rsidRPr="00235481">
        <w:rPr>
          <w:b w:val="0"/>
        </w:rPr>
        <w:t xml:space="preserve">  In April 2024 BNP Paribas provided an </w:t>
      </w:r>
      <w:r w:rsidR="007F2BD8" w:rsidRPr="00235481">
        <w:rPr>
          <w:b w:val="0"/>
        </w:rPr>
        <w:t>A</w:t>
      </w:r>
      <w:r w:rsidR="00F64BE0" w:rsidRPr="00235481">
        <w:rPr>
          <w:b w:val="0"/>
        </w:rPr>
        <w:t xml:space="preserve">ddendum </w:t>
      </w:r>
      <w:r w:rsidR="007F2BD8" w:rsidRPr="00235481">
        <w:rPr>
          <w:b w:val="0"/>
        </w:rPr>
        <w:t>N</w:t>
      </w:r>
      <w:r w:rsidR="00F64BE0" w:rsidRPr="00235481">
        <w:rPr>
          <w:b w:val="0"/>
        </w:rPr>
        <w:t xml:space="preserve">ote </w:t>
      </w:r>
      <w:r w:rsidR="007F2BD8" w:rsidRPr="00235481">
        <w:rPr>
          <w:b w:val="0"/>
        </w:rPr>
        <w:t xml:space="preserve">(AN) </w:t>
      </w:r>
      <w:r w:rsidR="00F64BE0" w:rsidRPr="00235481">
        <w:rPr>
          <w:b w:val="0"/>
        </w:rPr>
        <w:t xml:space="preserve">dealing with the </w:t>
      </w:r>
      <w:r w:rsidR="007F2BD8" w:rsidRPr="00235481">
        <w:rPr>
          <w:b w:val="0"/>
        </w:rPr>
        <w:t xml:space="preserve">CIL </w:t>
      </w:r>
      <w:r w:rsidR="00F64BE0" w:rsidRPr="00235481">
        <w:rPr>
          <w:b w:val="0"/>
        </w:rPr>
        <w:t xml:space="preserve">rate options for </w:t>
      </w:r>
      <w:r w:rsidR="007F2BD8" w:rsidRPr="00235481">
        <w:rPr>
          <w:b w:val="0"/>
        </w:rPr>
        <w:t>office/R&amp;D developments.</w:t>
      </w:r>
      <w:r w:rsidR="00D81BF6" w:rsidRPr="00235481">
        <w:rPr>
          <w:b w:val="0"/>
        </w:rPr>
        <w:t xml:space="preserve">  </w:t>
      </w:r>
      <w:r w:rsidR="00D81BF6" w:rsidRPr="00235481">
        <w:rPr>
          <w:b w:val="0"/>
        </w:rPr>
        <w:lastRenderedPageBreak/>
        <w:t>The further testing involved</w:t>
      </w:r>
      <w:r w:rsidR="007F2BD8" w:rsidRPr="00235481">
        <w:rPr>
          <w:b w:val="0"/>
        </w:rPr>
        <w:t xml:space="preserve"> </w:t>
      </w:r>
      <w:r w:rsidR="00D81BF6" w:rsidRPr="00235481">
        <w:rPr>
          <w:b w:val="0"/>
        </w:rPr>
        <w:t xml:space="preserve">18 sites </w:t>
      </w:r>
      <w:r w:rsidR="00F61883" w:rsidRPr="00235481">
        <w:rPr>
          <w:b w:val="0"/>
        </w:rPr>
        <w:t xml:space="preserve">some in </w:t>
      </w:r>
      <w:r w:rsidR="00D81BF6" w:rsidRPr="00235481">
        <w:rPr>
          <w:b w:val="0"/>
        </w:rPr>
        <w:t>the City Centre</w:t>
      </w:r>
      <w:r w:rsidR="00F61883" w:rsidRPr="00235481">
        <w:rPr>
          <w:b w:val="0"/>
        </w:rPr>
        <w:t xml:space="preserve"> and others outside the centre.</w:t>
      </w:r>
      <w:r w:rsidR="00D81BF6" w:rsidRPr="00235481">
        <w:rPr>
          <w:b w:val="0"/>
        </w:rPr>
        <w:t xml:space="preserve">  Most of the sites tested had been subject to planning application</w:t>
      </w:r>
      <w:r w:rsidR="00040918" w:rsidRPr="00235481">
        <w:rPr>
          <w:b w:val="0"/>
        </w:rPr>
        <w:t>s, ten of which had been approved.</w:t>
      </w:r>
      <w:r w:rsidR="007F2BD8" w:rsidRPr="00235481">
        <w:rPr>
          <w:b w:val="0"/>
        </w:rPr>
        <w:t xml:space="preserve"> </w:t>
      </w:r>
      <w:r w:rsidR="00D81BF6" w:rsidRPr="00235481">
        <w:rPr>
          <w:b w:val="0"/>
        </w:rPr>
        <w:t xml:space="preserve"> Part of the </w:t>
      </w:r>
      <w:r w:rsidR="007F2BD8" w:rsidRPr="00235481">
        <w:rPr>
          <w:b w:val="0"/>
        </w:rPr>
        <w:t xml:space="preserve">justification of the </w:t>
      </w:r>
      <w:proofErr w:type="gramStart"/>
      <w:r w:rsidR="007F2BD8" w:rsidRPr="00235481">
        <w:rPr>
          <w:b w:val="0"/>
        </w:rPr>
        <w:t>AN</w:t>
      </w:r>
      <w:proofErr w:type="gramEnd"/>
      <w:r w:rsidR="007F2BD8" w:rsidRPr="00235481">
        <w:rPr>
          <w:b w:val="0"/>
        </w:rPr>
        <w:t xml:space="preserve"> was that rents had changed</w:t>
      </w:r>
      <w:r w:rsidR="00D81BF6" w:rsidRPr="00235481">
        <w:rPr>
          <w:b w:val="0"/>
        </w:rPr>
        <w:t>,</w:t>
      </w:r>
      <w:r w:rsidR="007F2BD8" w:rsidRPr="00235481">
        <w:rPr>
          <w:b w:val="0"/>
        </w:rPr>
        <w:t xml:space="preserve"> particularly for R&amp;D schemes.  The material changes </w:t>
      </w:r>
      <w:r w:rsidR="00BB7730" w:rsidRPr="00235481">
        <w:rPr>
          <w:b w:val="0"/>
        </w:rPr>
        <w:t xml:space="preserve">from the 2023 VA </w:t>
      </w:r>
      <w:r w:rsidR="007F2BD8" w:rsidRPr="00235481">
        <w:rPr>
          <w:b w:val="0"/>
        </w:rPr>
        <w:t xml:space="preserve">were an increase in office rents </w:t>
      </w:r>
      <w:r w:rsidR="005D0875" w:rsidRPr="00235481">
        <w:rPr>
          <w:b w:val="0"/>
        </w:rPr>
        <w:t xml:space="preserve">per </w:t>
      </w:r>
      <w:proofErr w:type="spellStart"/>
      <w:r w:rsidR="005D0875" w:rsidRPr="00235481">
        <w:rPr>
          <w:b w:val="0"/>
        </w:rPr>
        <w:t>sq</w:t>
      </w:r>
      <w:r w:rsidR="00A97358" w:rsidRPr="00235481">
        <w:rPr>
          <w:b w:val="0"/>
        </w:rPr>
        <w:t>.m</w:t>
      </w:r>
      <w:proofErr w:type="spellEnd"/>
      <w:r w:rsidR="005D0875" w:rsidRPr="00235481">
        <w:rPr>
          <w:b w:val="0"/>
        </w:rPr>
        <w:t xml:space="preserve"> </w:t>
      </w:r>
      <w:r w:rsidR="007F2BD8" w:rsidRPr="00235481">
        <w:rPr>
          <w:b w:val="0"/>
        </w:rPr>
        <w:t>from £340 - £565</w:t>
      </w:r>
      <w:r w:rsidR="005628C4" w:rsidRPr="00235481">
        <w:rPr>
          <w:b w:val="0"/>
        </w:rPr>
        <w:t xml:space="preserve"> </w:t>
      </w:r>
      <w:r w:rsidR="007F2BD8" w:rsidRPr="00235481">
        <w:rPr>
          <w:b w:val="0"/>
        </w:rPr>
        <w:t>to £540 -</w:t>
      </w:r>
      <w:r w:rsidR="0041287B" w:rsidRPr="00235481">
        <w:rPr>
          <w:b w:val="0"/>
        </w:rPr>
        <w:t xml:space="preserve"> </w:t>
      </w:r>
      <w:r w:rsidR="00BB7730" w:rsidRPr="00235481">
        <w:rPr>
          <w:b w:val="0"/>
        </w:rPr>
        <w:t xml:space="preserve">£590, an investment yield of 5.75% city wide (as </w:t>
      </w:r>
    </w:p>
    <w:p w14:paraId="1F561A10" w14:textId="13685627" w:rsidR="00BB7730" w:rsidRPr="0041287B" w:rsidRDefault="00BB7730" w:rsidP="00872099">
      <w:pPr>
        <w:pStyle w:val="DPDIntro"/>
        <w:widowControl w:val="0"/>
        <w:spacing w:after="0"/>
        <w:ind w:left="393"/>
        <w:rPr>
          <w:b w:val="0"/>
          <w:i/>
          <w:color w:val="0000FF"/>
          <w:highlight w:val="lightGray"/>
        </w:rPr>
      </w:pPr>
      <w:proofErr w:type="gramStart"/>
      <w:r>
        <w:rPr>
          <w:b w:val="0"/>
        </w:rPr>
        <w:t>opposed</w:t>
      </w:r>
      <w:proofErr w:type="gramEnd"/>
      <w:r>
        <w:rPr>
          <w:b w:val="0"/>
        </w:rPr>
        <w:t xml:space="preserve"> to 6.00% outside the City Centre) and increased construction costs from £3,123 to £3</w:t>
      </w:r>
      <w:r w:rsidR="005628C4">
        <w:rPr>
          <w:b w:val="0"/>
        </w:rPr>
        <w:t>,</w:t>
      </w:r>
      <w:r>
        <w:rPr>
          <w:b w:val="0"/>
        </w:rPr>
        <w:t>279</w:t>
      </w:r>
      <w:r w:rsidR="00C04B2C">
        <w:rPr>
          <w:b w:val="0"/>
        </w:rPr>
        <w:t xml:space="preserve"> per </w:t>
      </w:r>
      <w:proofErr w:type="spellStart"/>
      <w:r w:rsidR="00C04B2C">
        <w:rPr>
          <w:b w:val="0"/>
        </w:rPr>
        <w:t>sq.m</w:t>
      </w:r>
      <w:proofErr w:type="spellEnd"/>
      <w:r>
        <w:rPr>
          <w:b w:val="0"/>
        </w:rPr>
        <w:t>.</w:t>
      </w:r>
    </w:p>
    <w:p w14:paraId="3317115B" w14:textId="77777777" w:rsidR="0041287B" w:rsidRPr="00BB7730" w:rsidRDefault="0041287B" w:rsidP="0041287B">
      <w:pPr>
        <w:pStyle w:val="DPDIntro"/>
        <w:widowControl w:val="0"/>
        <w:spacing w:after="0"/>
        <w:ind w:left="393"/>
        <w:rPr>
          <w:b w:val="0"/>
          <w:i/>
          <w:color w:val="0000FF"/>
          <w:highlight w:val="lightGray"/>
        </w:rPr>
      </w:pPr>
    </w:p>
    <w:p w14:paraId="5E497214" w14:textId="3802D87E" w:rsidR="00963FDD" w:rsidRPr="0041287B" w:rsidRDefault="00040918" w:rsidP="0041287B">
      <w:pPr>
        <w:pStyle w:val="DPDIntro"/>
        <w:widowControl w:val="0"/>
        <w:numPr>
          <w:ilvl w:val="0"/>
          <w:numId w:val="36"/>
        </w:numPr>
        <w:spacing w:after="0"/>
        <w:rPr>
          <w:b w:val="0"/>
          <w:i/>
          <w:color w:val="0000FF"/>
          <w:highlight w:val="lightGray"/>
        </w:rPr>
      </w:pPr>
      <w:r>
        <w:rPr>
          <w:b w:val="0"/>
        </w:rPr>
        <w:t xml:space="preserve">The </w:t>
      </w:r>
      <w:r w:rsidR="00BB7730">
        <w:rPr>
          <w:b w:val="0"/>
        </w:rPr>
        <w:t xml:space="preserve">VA followed the conventional approach of examining the viability of development typologies. For the purposes of </w:t>
      </w:r>
      <w:r w:rsidR="005628C4">
        <w:rPr>
          <w:b w:val="0"/>
        </w:rPr>
        <w:t>the VA</w:t>
      </w:r>
      <w:r w:rsidR="0041287B">
        <w:rPr>
          <w:b w:val="0"/>
        </w:rPr>
        <w:t>,</w:t>
      </w:r>
      <w:r w:rsidR="005628C4">
        <w:rPr>
          <w:b w:val="0"/>
        </w:rPr>
        <w:t xml:space="preserve"> </w:t>
      </w:r>
      <w:r w:rsidR="00BB7730">
        <w:rPr>
          <w:b w:val="0"/>
        </w:rPr>
        <w:t>the typologies</w:t>
      </w:r>
      <w:r w:rsidR="00F61883">
        <w:rPr>
          <w:b w:val="0"/>
        </w:rPr>
        <w:t xml:space="preserve"> relevant to this partial review </w:t>
      </w:r>
      <w:r w:rsidR="00FB5C8F">
        <w:rPr>
          <w:b w:val="0"/>
        </w:rPr>
        <w:t xml:space="preserve">involved </w:t>
      </w:r>
      <w:proofErr w:type="spellStart"/>
      <w:r w:rsidR="00FB5C8F">
        <w:rPr>
          <w:b w:val="0"/>
        </w:rPr>
        <w:t>floorspace</w:t>
      </w:r>
      <w:proofErr w:type="spellEnd"/>
      <w:r w:rsidR="00FB5C8F">
        <w:rPr>
          <w:b w:val="0"/>
        </w:rPr>
        <w:t xml:space="preserve"> of 2,500 and 5,000 square metres.  The rents assumed were based on lettings of similar </w:t>
      </w:r>
      <w:proofErr w:type="spellStart"/>
      <w:r w:rsidR="00FB5C8F">
        <w:rPr>
          <w:b w:val="0"/>
        </w:rPr>
        <w:t>floorspace</w:t>
      </w:r>
      <w:proofErr w:type="spellEnd"/>
      <w:r w:rsidR="00FB5C8F">
        <w:rPr>
          <w:b w:val="0"/>
        </w:rPr>
        <w:t xml:space="preserve"> in the City between November 2019 and November 2022.  For both typologies a rent-free period of 12 months was assumed.</w:t>
      </w:r>
    </w:p>
    <w:p w14:paraId="643B4112" w14:textId="77777777" w:rsidR="0041287B" w:rsidRPr="00963FDD" w:rsidRDefault="0041287B" w:rsidP="0041287B">
      <w:pPr>
        <w:pStyle w:val="DPDIntro"/>
        <w:widowControl w:val="0"/>
        <w:spacing w:after="0"/>
        <w:rPr>
          <w:b w:val="0"/>
          <w:i/>
          <w:color w:val="0000FF"/>
          <w:highlight w:val="lightGray"/>
        </w:rPr>
      </w:pPr>
    </w:p>
    <w:p w14:paraId="69ACDBC7" w14:textId="277860E6" w:rsidR="0041287B" w:rsidRPr="0041287B" w:rsidRDefault="00FB5C8F" w:rsidP="0041287B">
      <w:pPr>
        <w:pStyle w:val="DPDIntro"/>
        <w:widowControl w:val="0"/>
        <w:numPr>
          <w:ilvl w:val="0"/>
          <w:numId w:val="36"/>
        </w:numPr>
        <w:spacing w:after="0"/>
        <w:rPr>
          <w:b w:val="0"/>
          <w:i/>
          <w:color w:val="0000FF"/>
          <w:highlight w:val="lightGray"/>
        </w:rPr>
      </w:pPr>
      <w:r>
        <w:rPr>
          <w:b w:val="0"/>
        </w:rPr>
        <w:t xml:space="preserve">For base build costs </w:t>
      </w:r>
      <w:r w:rsidR="00C04B2C">
        <w:rPr>
          <w:b w:val="0"/>
        </w:rPr>
        <w:t>Building Cost Information Service (</w:t>
      </w:r>
      <w:r>
        <w:rPr>
          <w:b w:val="0"/>
        </w:rPr>
        <w:t>BCIS</w:t>
      </w:r>
      <w:r w:rsidR="00C04B2C">
        <w:rPr>
          <w:b w:val="0"/>
        </w:rPr>
        <w:t>)</w:t>
      </w:r>
      <w:r>
        <w:rPr>
          <w:b w:val="0"/>
        </w:rPr>
        <w:t xml:space="preserve"> figures were used with upper quartile figures applied in the City Centre to take account of the nature of the City Centre environment.  A</w:t>
      </w:r>
      <w:r w:rsidR="00963FDD">
        <w:rPr>
          <w:b w:val="0"/>
        </w:rPr>
        <w:t>n</w:t>
      </w:r>
      <w:r>
        <w:rPr>
          <w:b w:val="0"/>
        </w:rPr>
        <w:t xml:space="preserve"> </w:t>
      </w:r>
      <w:r w:rsidR="00963FDD">
        <w:rPr>
          <w:b w:val="0"/>
        </w:rPr>
        <w:t xml:space="preserve">additional </w:t>
      </w:r>
      <w:r>
        <w:rPr>
          <w:b w:val="0"/>
        </w:rPr>
        <w:t xml:space="preserve">10% </w:t>
      </w:r>
      <w:r w:rsidR="00963FDD">
        <w:rPr>
          <w:b w:val="0"/>
        </w:rPr>
        <w:t>allowance was provided for external works including car parking spaces.  Additional costs relating to zero carbon and B</w:t>
      </w:r>
      <w:r w:rsidR="00E62B5D">
        <w:rPr>
          <w:b w:val="0"/>
        </w:rPr>
        <w:t>REEAM</w:t>
      </w:r>
      <w:r w:rsidR="00963FDD">
        <w:rPr>
          <w:b w:val="0"/>
        </w:rPr>
        <w:t xml:space="preserve"> were also taken into account.</w:t>
      </w:r>
      <w:r w:rsidR="005628C4">
        <w:rPr>
          <w:b w:val="0"/>
        </w:rPr>
        <w:t xml:space="preserve">  A comprehensive range of other development costs such as s106 </w:t>
      </w:r>
      <w:r w:rsidR="00D45618">
        <w:rPr>
          <w:b w:val="0"/>
        </w:rPr>
        <w:t xml:space="preserve">contributions, development finance and professional fees </w:t>
      </w:r>
      <w:r w:rsidR="005628C4">
        <w:rPr>
          <w:b w:val="0"/>
        </w:rPr>
        <w:t xml:space="preserve">were </w:t>
      </w:r>
      <w:r w:rsidR="00D45618">
        <w:rPr>
          <w:b w:val="0"/>
        </w:rPr>
        <w:t xml:space="preserve">added to the base costs.  The assumptions made in relation to these costs follow well established practice.  </w:t>
      </w:r>
      <w:r w:rsidR="00C57E36">
        <w:rPr>
          <w:b w:val="0"/>
        </w:rPr>
        <w:t>For commercial development</w:t>
      </w:r>
      <w:r w:rsidR="0041287B">
        <w:rPr>
          <w:b w:val="0"/>
        </w:rPr>
        <w:t>,</w:t>
      </w:r>
      <w:r w:rsidR="00C57E36">
        <w:rPr>
          <w:b w:val="0"/>
        </w:rPr>
        <w:t xml:space="preserve"> the VA assumes a profit level of 15% of</w:t>
      </w:r>
      <w:r w:rsidR="00E62B5D">
        <w:rPr>
          <w:b w:val="0"/>
        </w:rPr>
        <w:t xml:space="preserve"> Gross Development Value</w:t>
      </w:r>
      <w:r w:rsidR="00C57E36">
        <w:rPr>
          <w:b w:val="0"/>
        </w:rPr>
        <w:t xml:space="preserve"> </w:t>
      </w:r>
      <w:r w:rsidR="00E62B5D">
        <w:rPr>
          <w:b w:val="0"/>
        </w:rPr>
        <w:t>(</w:t>
      </w:r>
      <w:r w:rsidR="00C57E36">
        <w:rPr>
          <w:b w:val="0"/>
        </w:rPr>
        <w:t>GDV</w:t>
      </w:r>
      <w:r w:rsidR="00E62B5D">
        <w:rPr>
          <w:b w:val="0"/>
        </w:rPr>
        <w:t>)</w:t>
      </w:r>
      <w:r w:rsidR="00C57E36">
        <w:rPr>
          <w:b w:val="0"/>
        </w:rPr>
        <w:t>.  This level of profit is frequently assumed in viability work.</w:t>
      </w:r>
      <w:r w:rsidR="005628C4">
        <w:rPr>
          <w:b w:val="0"/>
        </w:rPr>
        <w:t xml:space="preserve"> </w:t>
      </w:r>
      <w:r w:rsidR="00963FDD">
        <w:rPr>
          <w:b w:val="0"/>
        </w:rPr>
        <w:t xml:space="preserve">  </w:t>
      </w:r>
      <w:r>
        <w:rPr>
          <w:b w:val="0"/>
        </w:rPr>
        <w:t xml:space="preserve">    </w:t>
      </w:r>
    </w:p>
    <w:p w14:paraId="69836CE0" w14:textId="182BF6EF" w:rsidR="00C256BE" w:rsidRPr="00520373" w:rsidRDefault="00BB7730" w:rsidP="0041287B">
      <w:pPr>
        <w:pStyle w:val="DPDIntro"/>
        <w:widowControl w:val="0"/>
        <w:spacing w:after="0"/>
        <w:ind w:left="393"/>
        <w:rPr>
          <w:b w:val="0"/>
          <w:i/>
          <w:color w:val="0000FF"/>
          <w:highlight w:val="lightGray"/>
        </w:rPr>
      </w:pPr>
      <w:r>
        <w:rPr>
          <w:b w:val="0"/>
        </w:rPr>
        <w:t xml:space="preserve">  </w:t>
      </w:r>
      <w:r w:rsidR="007F2BD8">
        <w:rPr>
          <w:b w:val="0"/>
        </w:rPr>
        <w:t xml:space="preserve">  </w:t>
      </w:r>
      <w:r w:rsidR="00F64BE0">
        <w:rPr>
          <w:b w:val="0"/>
        </w:rPr>
        <w:t xml:space="preserve"> </w:t>
      </w:r>
    </w:p>
    <w:p w14:paraId="711004B6" w14:textId="7A6EDA19" w:rsidR="00C256BE" w:rsidRPr="005D3072" w:rsidRDefault="00815CFB" w:rsidP="004A4775">
      <w:pPr>
        <w:pStyle w:val="DPDIntro"/>
        <w:widowControl w:val="0"/>
        <w:numPr>
          <w:ilvl w:val="0"/>
          <w:numId w:val="36"/>
        </w:numPr>
        <w:rPr>
          <w:b w:val="0"/>
        </w:rPr>
      </w:pPr>
      <w:r>
        <w:rPr>
          <w:b w:val="0"/>
        </w:rPr>
        <w:t>For benchmark land values BNP Paribas point out that existing use values are</w:t>
      </w:r>
      <w:r w:rsidR="00073E77">
        <w:rPr>
          <w:b w:val="0"/>
        </w:rPr>
        <w:t xml:space="preserve"> relevant</w:t>
      </w:r>
      <w:r>
        <w:rPr>
          <w:b w:val="0"/>
        </w:rPr>
        <w:t>. For the land to come forward for development</w:t>
      </w:r>
      <w:r w:rsidR="002C2ED7">
        <w:rPr>
          <w:b w:val="0"/>
        </w:rPr>
        <w:t>,</w:t>
      </w:r>
      <w:r>
        <w:rPr>
          <w:b w:val="0"/>
        </w:rPr>
        <w:t xml:space="preserve"> viability studies logically assume a premium above existing use value.  The range of benchmark figures identified by BNP Paribas in Oxford is extremely wide</w:t>
      </w:r>
      <w:r w:rsidR="002C2ED7">
        <w:rPr>
          <w:b w:val="0"/>
        </w:rPr>
        <w:t>,</w:t>
      </w:r>
      <w:r>
        <w:rPr>
          <w:b w:val="0"/>
        </w:rPr>
        <w:t xml:space="preserve"> ranging from £370,000 to £7,630,000 per gross hectare.  The lower benchmark relates to large</w:t>
      </w:r>
      <w:r w:rsidR="002C2ED7">
        <w:rPr>
          <w:b w:val="0"/>
        </w:rPr>
        <w:t>,</w:t>
      </w:r>
      <w:r>
        <w:rPr>
          <w:b w:val="0"/>
        </w:rPr>
        <w:t xml:space="preserve"> </w:t>
      </w:r>
      <w:r w:rsidR="0024413A">
        <w:rPr>
          <w:b w:val="0"/>
        </w:rPr>
        <w:t xml:space="preserve">predominantly </w:t>
      </w:r>
      <w:proofErr w:type="gramStart"/>
      <w:r w:rsidR="0024413A">
        <w:rPr>
          <w:b w:val="0"/>
        </w:rPr>
        <w:t>greenfield</w:t>
      </w:r>
      <w:proofErr w:type="gramEnd"/>
      <w:r w:rsidR="0024413A">
        <w:rPr>
          <w:b w:val="0"/>
        </w:rPr>
        <w:t xml:space="preserve"> or vacant urban land while the higher figures </w:t>
      </w:r>
      <w:r w:rsidR="002C2ED7">
        <w:rPr>
          <w:b w:val="0"/>
        </w:rPr>
        <w:t>are</w:t>
      </w:r>
      <w:r w:rsidR="0024413A">
        <w:rPr>
          <w:b w:val="0"/>
        </w:rPr>
        <w:t xml:space="preserve"> based on secondary office/retail buildings that are reaching the end of their economic life.  The VA provides full details of how land in office/retail and industrial use has been valued using relevant rents, yields and assumptions.  For cleared sites, undeveloped land and agricultural land the VA uses a multiple of fifteen </w:t>
      </w:r>
      <w:proofErr w:type="gramStart"/>
      <w:r w:rsidR="0024413A">
        <w:rPr>
          <w:b w:val="0"/>
        </w:rPr>
        <w:t>times</w:t>
      </w:r>
      <w:proofErr w:type="gramEnd"/>
      <w:r w:rsidR="0024413A">
        <w:rPr>
          <w:b w:val="0"/>
        </w:rPr>
        <w:t xml:space="preserve"> agricultural value.  </w:t>
      </w:r>
      <w:r w:rsidR="008907F2">
        <w:rPr>
          <w:b w:val="0"/>
        </w:rPr>
        <w:t>The resulting benchmarks per gross hectare are £7.63 million for secondary office land</w:t>
      </w:r>
      <w:r w:rsidR="002C2ED7">
        <w:rPr>
          <w:b w:val="0"/>
        </w:rPr>
        <w:t>;</w:t>
      </w:r>
      <w:r w:rsidR="008907F2">
        <w:rPr>
          <w:b w:val="0"/>
        </w:rPr>
        <w:t xml:space="preserve"> £4.21 million for secondary retail land</w:t>
      </w:r>
      <w:r w:rsidR="002C2ED7">
        <w:rPr>
          <w:b w:val="0"/>
        </w:rPr>
        <w:t>;</w:t>
      </w:r>
      <w:r w:rsidR="008907F2">
        <w:rPr>
          <w:b w:val="0"/>
        </w:rPr>
        <w:t xml:space="preserve"> £1.61 million for secondary </w:t>
      </w:r>
      <w:r w:rsidR="0041287B">
        <w:rPr>
          <w:b w:val="0"/>
        </w:rPr>
        <w:t>industrial</w:t>
      </w:r>
      <w:r w:rsidR="008907F2">
        <w:rPr>
          <w:b w:val="0"/>
        </w:rPr>
        <w:t xml:space="preserve"> land</w:t>
      </w:r>
      <w:r w:rsidR="002C2ED7">
        <w:rPr>
          <w:b w:val="0"/>
        </w:rPr>
        <w:t>;</w:t>
      </w:r>
      <w:r w:rsidR="008907F2">
        <w:rPr>
          <w:b w:val="0"/>
        </w:rPr>
        <w:t xml:space="preserve"> and £0.37 million for greenfield/open land. </w:t>
      </w:r>
      <w:r w:rsidR="0024413A">
        <w:rPr>
          <w:b w:val="0"/>
        </w:rPr>
        <w:t xml:space="preserve">  </w:t>
      </w:r>
      <w:r>
        <w:rPr>
          <w:b w:val="0"/>
        </w:rPr>
        <w:t xml:space="preserve">     </w:t>
      </w:r>
    </w:p>
    <w:p w14:paraId="25B96D4C" w14:textId="2DD651F3" w:rsidR="005410D3" w:rsidRPr="002C2ED7" w:rsidRDefault="005410D3" w:rsidP="002C2ED7">
      <w:pPr>
        <w:pStyle w:val="Default"/>
        <w:numPr>
          <w:ilvl w:val="0"/>
          <w:numId w:val="36"/>
        </w:numPr>
        <w:pBdr>
          <w:top w:val="nil"/>
          <w:left w:val="nil"/>
          <w:bottom w:val="nil"/>
          <w:right w:val="nil"/>
          <w:between w:val="nil"/>
          <w:bar w:val="nil"/>
        </w:pBdr>
        <w:autoSpaceDE/>
        <w:autoSpaceDN/>
        <w:adjustRightInd/>
        <w:spacing w:after="120"/>
        <w:rPr>
          <w:rFonts w:ascii="Verdana" w:eastAsia="Verdana" w:hAnsi="Verdana" w:cs="Verdana"/>
          <w:sz w:val="22"/>
          <w:szCs w:val="22"/>
        </w:rPr>
      </w:pPr>
      <w:r w:rsidRPr="002C2ED7">
        <w:rPr>
          <w:rFonts w:ascii="Verdana" w:hAnsi="Verdana"/>
          <w:sz w:val="22"/>
          <w:szCs w:val="22"/>
          <w:lang w:val="en-US"/>
        </w:rPr>
        <w:t xml:space="preserve">The </w:t>
      </w:r>
      <w:r w:rsidR="00C55FE1" w:rsidRPr="002C2ED7">
        <w:rPr>
          <w:rFonts w:ascii="Verdana" w:hAnsi="Verdana"/>
          <w:sz w:val="22"/>
          <w:szCs w:val="22"/>
          <w:lang w:val="en-US"/>
        </w:rPr>
        <w:t>d</w:t>
      </w:r>
      <w:r w:rsidRPr="002C2ED7">
        <w:rPr>
          <w:rFonts w:ascii="Verdana" w:hAnsi="Verdana"/>
          <w:sz w:val="22"/>
          <w:szCs w:val="22"/>
          <w:lang w:val="en-US"/>
        </w:rPr>
        <w:t xml:space="preserve">raft Charging Schedule is supported by detailed evidence of community infrastructure needs.  On this basis, the evidence which has been used to inform the Charging Schedule is robust, proportionate and appropriate. </w:t>
      </w:r>
    </w:p>
    <w:p w14:paraId="4EDB31DE" w14:textId="77777777" w:rsidR="00BB2F80" w:rsidRDefault="00BB2F80" w:rsidP="005410D3">
      <w:pPr>
        <w:pStyle w:val="Default"/>
        <w:rPr>
          <w:rFonts w:ascii="Verdana" w:hAnsi="Verdana" w:cs="Helvetica"/>
          <w:b/>
          <w:color w:val="auto"/>
          <w:sz w:val="22"/>
          <w:szCs w:val="22"/>
        </w:rPr>
      </w:pPr>
    </w:p>
    <w:p w14:paraId="0A0D0E62" w14:textId="1066B284" w:rsidR="005410D3" w:rsidRPr="00AC3ABB" w:rsidRDefault="0012758B" w:rsidP="008A3134">
      <w:pPr>
        <w:pStyle w:val="Heading2"/>
        <w:ind w:left="0" w:firstLine="0"/>
        <w:rPr>
          <w:rFonts w:eastAsia="Verdana" w:cs="Verdana"/>
          <w:bCs/>
        </w:rPr>
      </w:pPr>
      <w:bookmarkStart w:id="7" w:name="_Toc196226491"/>
      <w:r w:rsidRPr="00AC3ABB">
        <w:lastRenderedPageBreak/>
        <w:t xml:space="preserve">Are the proposed rates informed by and consistent with the evidence on viability across the </w:t>
      </w:r>
      <w:r w:rsidR="009161FE">
        <w:t>charging authority’s area</w:t>
      </w:r>
      <w:r w:rsidRPr="00AC3ABB">
        <w:rPr>
          <w:bCs/>
          <w:lang w:val="en-US"/>
        </w:rPr>
        <w:t>?</w:t>
      </w:r>
      <w:bookmarkEnd w:id="7"/>
    </w:p>
    <w:p w14:paraId="1917B463" w14:textId="77777777" w:rsidR="00C86FF3" w:rsidRPr="00AC3ABB" w:rsidRDefault="00C86FF3" w:rsidP="005410D3">
      <w:pPr>
        <w:pStyle w:val="Default"/>
        <w:rPr>
          <w:rFonts w:ascii="Verdana" w:hAnsi="Verdana"/>
          <w:i/>
          <w:sz w:val="22"/>
          <w:szCs w:val="22"/>
          <w:lang w:val="en-US"/>
        </w:rPr>
      </w:pPr>
    </w:p>
    <w:p w14:paraId="30B453B6" w14:textId="72FCE129" w:rsidR="00C256BE" w:rsidRDefault="00C256BE" w:rsidP="008A3134">
      <w:pPr>
        <w:pStyle w:val="Heading3"/>
        <w:rPr>
          <w:b/>
        </w:rPr>
      </w:pPr>
      <w:bookmarkStart w:id="8" w:name="_Toc196226492"/>
      <w:r w:rsidRPr="00E8448C">
        <w:t xml:space="preserve">Commercial </w:t>
      </w:r>
      <w:r w:rsidR="00235481">
        <w:t>R</w:t>
      </w:r>
      <w:r w:rsidRPr="00E8448C">
        <w:t>ate</w:t>
      </w:r>
      <w:bookmarkEnd w:id="8"/>
    </w:p>
    <w:p w14:paraId="6E280B59" w14:textId="77777777" w:rsidR="002C2ED7" w:rsidRDefault="002C2ED7" w:rsidP="002C2ED7">
      <w:pPr>
        <w:pStyle w:val="DPDIntro"/>
        <w:widowControl w:val="0"/>
        <w:spacing w:after="0"/>
        <w:rPr>
          <w:b w:val="0"/>
          <w:i/>
        </w:rPr>
      </w:pPr>
    </w:p>
    <w:p w14:paraId="75DCD7CA" w14:textId="3EC5E55C" w:rsidR="009A50DF" w:rsidRDefault="00721681" w:rsidP="002C2ED7">
      <w:pPr>
        <w:pStyle w:val="DPDIntro"/>
        <w:widowControl w:val="0"/>
        <w:numPr>
          <w:ilvl w:val="0"/>
          <w:numId w:val="36"/>
        </w:numPr>
        <w:spacing w:after="0"/>
        <w:rPr>
          <w:b w:val="0"/>
        </w:rPr>
      </w:pPr>
      <w:r w:rsidRPr="00721681">
        <w:rPr>
          <w:b w:val="0"/>
        </w:rPr>
        <w:t xml:space="preserve">The </w:t>
      </w:r>
      <w:r w:rsidRPr="002C2ED7">
        <w:rPr>
          <w:b w:val="0"/>
        </w:rPr>
        <w:t xml:space="preserve">AN produced </w:t>
      </w:r>
      <w:r>
        <w:rPr>
          <w:b w:val="0"/>
        </w:rPr>
        <w:t xml:space="preserve">by BNP Paribas provides a </w:t>
      </w:r>
      <w:r w:rsidR="00040918">
        <w:rPr>
          <w:b w:val="0"/>
        </w:rPr>
        <w:t xml:space="preserve">much </w:t>
      </w:r>
      <w:r>
        <w:rPr>
          <w:b w:val="0"/>
        </w:rPr>
        <w:t xml:space="preserve">more comprehensive and up-to date view of potential CIL rates for office/R&amp;D development than did the VA.  The </w:t>
      </w:r>
      <w:proofErr w:type="gramStart"/>
      <w:r>
        <w:rPr>
          <w:b w:val="0"/>
        </w:rPr>
        <w:t>AN</w:t>
      </w:r>
      <w:proofErr w:type="gramEnd"/>
      <w:r>
        <w:rPr>
          <w:b w:val="0"/>
        </w:rPr>
        <w:t xml:space="preserve"> reco</w:t>
      </w:r>
      <w:r w:rsidR="009A50DF">
        <w:rPr>
          <w:b w:val="0"/>
        </w:rPr>
        <w:t>r</w:t>
      </w:r>
      <w:r>
        <w:rPr>
          <w:b w:val="0"/>
        </w:rPr>
        <w:t>ds recent evidence of office/R&amp;D rents</w:t>
      </w:r>
      <w:r w:rsidR="009A50DF">
        <w:rPr>
          <w:b w:val="0"/>
        </w:rPr>
        <w:t xml:space="preserve">.  </w:t>
      </w:r>
      <w:r w:rsidR="008907F2">
        <w:rPr>
          <w:b w:val="0"/>
        </w:rPr>
        <w:t xml:space="preserve">The up-dated evidence shows that rents outside the City Centre are closely comparable to rents in the City Centre.  </w:t>
      </w:r>
      <w:r w:rsidR="009A50DF">
        <w:rPr>
          <w:b w:val="0"/>
        </w:rPr>
        <w:t xml:space="preserve">January 2024 evidence from </w:t>
      </w:r>
      <w:proofErr w:type="spellStart"/>
      <w:r w:rsidR="009A50DF">
        <w:rPr>
          <w:b w:val="0"/>
        </w:rPr>
        <w:t>Bidwells</w:t>
      </w:r>
      <w:proofErr w:type="spellEnd"/>
      <w:r w:rsidR="009A50DF">
        <w:rPr>
          <w:b w:val="0"/>
        </w:rPr>
        <w:t xml:space="preserve"> shows rising rents for office and office/laboratory space with levels for prime fitted R&amp;D space over £75</w:t>
      </w:r>
      <w:r w:rsidR="00F34B29">
        <w:rPr>
          <w:b w:val="0"/>
        </w:rPr>
        <w:t xml:space="preserve"> per </w:t>
      </w:r>
      <w:r w:rsidR="009A50DF">
        <w:rPr>
          <w:b w:val="0"/>
        </w:rPr>
        <w:t>s</w:t>
      </w:r>
      <w:r w:rsidR="00BC100A">
        <w:rPr>
          <w:b w:val="0"/>
        </w:rPr>
        <w:t>quare foot (</w:t>
      </w:r>
      <w:proofErr w:type="spellStart"/>
      <w:r w:rsidR="00BC100A">
        <w:rPr>
          <w:b w:val="0"/>
        </w:rPr>
        <w:t>sq.ft</w:t>
      </w:r>
      <w:proofErr w:type="spellEnd"/>
      <w:r w:rsidR="00BC100A">
        <w:rPr>
          <w:b w:val="0"/>
        </w:rPr>
        <w:t>)</w:t>
      </w:r>
      <w:r w:rsidR="009A50DF">
        <w:rPr>
          <w:b w:val="0"/>
        </w:rPr>
        <w:t xml:space="preserve"> and prime office space at £60</w:t>
      </w:r>
      <w:r w:rsidR="00F34B29">
        <w:rPr>
          <w:b w:val="0"/>
        </w:rPr>
        <w:t xml:space="preserve">per </w:t>
      </w:r>
      <w:proofErr w:type="spellStart"/>
      <w:r w:rsidR="009A50DF">
        <w:rPr>
          <w:b w:val="0"/>
        </w:rPr>
        <w:t>sq.ft</w:t>
      </w:r>
      <w:proofErr w:type="spellEnd"/>
      <w:r w:rsidR="009A50DF">
        <w:rPr>
          <w:b w:val="0"/>
        </w:rPr>
        <w:t xml:space="preserve">.  There are similar figures from August 2023 from Savills. </w:t>
      </w:r>
    </w:p>
    <w:p w14:paraId="1F1D397C" w14:textId="77777777" w:rsidR="002C2ED7" w:rsidRDefault="002C2ED7" w:rsidP="002C2ED7">
      <w:pPr>
        <w:pStyle w:val="DPDIntro"/>
        <w:widowControl w:val="0"/>
        <w:spacing w:after="0"/>
        <w:ind w:left="393"/>
        <w:rPr>
          <w:b w:val="0"/>
        </w:rPr>
      </w:pPr>
    </w:p>
    <w:p w14:paraId="4FAF18B7" w14:textId="457BF5D4" w:rsidR="00907CDE" w:rsidRDefault="009A50DF" w:rsidP="002C2ED7">
      <w:pPr>
        <w:pStyle w:val="DPDIntro"/>
        <w:widowControl w:val="0"/>
        <w:numPr>
          <w:ilvl w:val="0"/>
          <w:numId w:val="36"/>
        </w:numPr>
        <w:spacing w:after="0"/>
        <w:rPr>
          <w:b w:val="0"/>
        </w:rPr>
      </w:pPr>
      <w:r>
        <w:rPr>
          <w:b w:val="0"/>
        </w:rPr>
        <w:t xml:space="preserve">Potential </w:t>
      </w:r>
      <w:r w:rsidR="00F6261F">
        <w:rPr>
          <w:b w:val="0"/>
        </w:rPr>
        <w:t>CIL headroom for offices</w:t>
      </w:r>
      <w:r w:rsidR="00F34B29">
        <w:rPr>
          <w:b w:val="0"/>
        </w:rPr>
        <w:t xml:space="preserve"> and </w:t>
      </w:r>
      <w:r w:rsidR="00F6261F">
        <w:rPr>
          <w:b w:val="0"/>
        </w:rPr>
        <w:t xml:space="preserve">R&amp;D development is calculated by BNP Paribas in the </w:t>
      </w:r>
      <w:proofErr w:type="gramStart"/>
      <w:r w:rsidR="00F6261F">
        <w:rPr>
          <w:b w:val="0"/>
        </w:rPr>
        <w:t>AN</w:t>
      </w:r>
      <w:proofErr w:type="gramEnd"/>
      <w:r w:rsidR="00F6261F">
        <w:rPr>
          <w:b w:val="0"/>
        </w:rPr>
        <w:t xml:space="preserve"> based on rents </w:t>
      </w:r>
      <w:r w:rsidR="00C9076F">
        <w:rPr>
          <w:b w:val="0"/>
        </w:rPr>
        <w:t xml:space="preserve">of </w:t>
      </w:r>
      <w:r w:rsidR="00F6261F">
        <w:rPr>
          <w:b w:val="0"/>
        </w:rPr>
        <w:t>£55</w:t>
      </w:r>
      <w:r w:rsidR="00F34B29">
        <w:rPr>
          <w:b w:val="0"/>
        </w:rPr>
        <w:t xml:space="preserve">per </w:t>
      </w:r>
      <w:proofErr w:type="spellStart"/>
      <w:r w:rsidR="00F6261F">
        <w:rPr>
          <w:b w:val="0"/>
        </w:rPr>
        <w:t>sq.ft</w:t>
      </w:r>
      <w:proofErr w:type="spellEnd"/>
      <w:r w:rsidR="00F6261F">
        <w:rPr>
          <w:b w:val="0"/>
        </w:rPr>
        <w:t xml:space="preserve"> and £50</w:t>
      </w:r>
      <w:r w:rsidR="00F34B29">
        <w:rPr>
          <w:b w:val="0"/>
        </w:rPr>
        <w:t xml:space="preserve"> per </w:t>
      </w:r>
      <w:proofErr w:type="spellStart"/>
      <w:r w:rsidR="00F6261F">
        <w:rPr>
          <w:b w:val="0"/>
        </w:rPr>
        <w:t>sq.ft</w:t>
      </w:r>
      <w:proofErr w:type="spellEnd"/>
      <w:r w:rsidR="00F6261F">
        <w:rPr>
          <w:b w:val="0"/>
        </w:rPr>
        <w:t xml:space="preserve">.  Eighteen sites of various sorts </w:t>
      </w:r>
      <w:r w:rsidR="00C9076F">
        <w:rPr>
          <w:b w:val="0"/>
        </w:rPr>
        <w:t xml:space="preserve">in varied locations </w:t>
      </w:r>
      <w:r w:rsidR="00F6261F">
        <w:rPr>
          <w:b w:val="0"/>
        </w:rPr>
        <w:t xml:space="preserve">with a wide range of benchmark land values are included.  All of the sites, bar one, show that there is a considerable amount of headroom.  In a high proportion of </w:t>
      </w:r>
      <w:r w:rsidR="00C9076F">
        <w:rPr>
          <w:b w:val="0"/>
        </w:rPr>
        <w:t>cases</w:t>
      </w:r>
      <w:r w:rsidR="00F6261F">
        <w:rPr>
          <w:b w:val="0"/>
        </w:rPr>
        <w:t xml:space="preserve"> </w:t>
      </w:r>
      <w:r w:rsidR="00C9076F">
        <w:rPr>
          <w:b w:val="0"/>
        </w:rPr>
        <w:t>with rents at £55</w:t>
      </w:r>
      <w:r w:rsidR="00F34B29">
        <w:rPr>
          <w:b w:val="0"/>
        </w:rPr>
        <w:t xml:space="preserve">per </w:t>
      </w:r>
      <w:proofErr w:type="spellStart"/>
      <w:r w:rsidR="00907CDE">
        <w:rPr>
          <w:b w:val="0"/>
        </w:rPr>
        <w:t>sq.ft</w:t>
      </w:r>
      <w:proofErr w:type="spellEnd"/>
      <w:r w:rsidR="00C9076F">
        <w:rPr>
          <w:b w:val="0"/>
        </w:rPr>
        <w:t xml:space="preserve"> </w:t>
      </w:r>
      <w:r w:rsidR="00F6261F">
        <w:rPr>
          <w:b w:val="0"/>
        </w:rPr>
        <w:t>the headroom either exceeds or is close to £2000</w:t>
      </w:r>
      <w:r w:rsidR="00F34B29">
        <w:rPr>
          <w:b w:val="0"/>
        </w:rPr>
        <w:t xml:space="preserve">per </w:t>
      </w:r>
      <w:proofErr w:type="spellStart"/>
      <w:r w:rsidR="00F6261F">
        <w:rPr>
          <w:b w:val="0"/>
        </w:rPr>
        <w:t>sq.m</w:t>
      </w:r>
      <w:proofErr w:type="spellEnd"/>
      <w:r w:rsidR="00C9076F">
        <w:rPr>
          <w:b w:val="0"/>
        </w:rPr>
        <w:t>.  With the lower rent of £50</w:t>
      </w:r>
      <w:r w:rsidR="00F34B29">
        <w:rPr>
          <w:b w:val="0"/>
        </w:rPr>
        <w:t xml:space="preserve">per </w:t>
      </w:r>
      <w:proofErr w:type="spellStart"/>
      <w:r w:rsidR="00907CDE">
        <w:rPr>
          <w:b w:val="0"/>
        </w:rPr>
        <w:t>sq.ft</w:t>
      </w:r>
      <w:proofErr w:type="spellEnd"/>
      <w:r w:rsidR="00C9076F">
        <w:rPr>
          <w:b w:val="0"/>
        </w:rPr>
        <w:t xml:space="preserve"> the majority of the sites show headroom of around £1500</w:t>
      </w:r>
      <w:r w:rsidR="00F34B29">
        <w:rPr>
          <w:b w:val="0"/>
        </w:rPr>
        <w:t xml:space="preserve">per </w:t>
      </w:r>
      <w:proofErr w:type="spellStart"/>
      <w:r w:rsidR="00C9076F">
        <w:rPr>
          <w:b w:val="0"/>
        </w:rPr>
        <w:t>sq.m</w:t>
      </w:r>
      <w:proofErr w:type="spellEnd"/>
      <w:r w:rsidR="00C9076F">
        <w:rPr>
          <w:b w:val="0"/>
        </w:rPr>
        <w:t xml:space="preserve"> or more.</w:t>
      </w:r>
    </w:p>
    <w:p w14:paraId="23FDDACA" w14:textId="77777777" w:rsidR="002C2ED7" w:rsidRDefault="002C2ED7" w:rsidP="002C2ED7">
      <w:pPr>
        <w:pStyle w:val="DPDIntro"/>
        <w:widowControl w:val="0"/>
        <w:spacing w:after="0"/>
        <w:rPr>
          <w:b w:val="0"/>
        </w:rPr>
      </w:pPr>
    </w:p>
    <w:p w14:paraId="5E9BF6C4" w14:textId="77777777" w:rsidR="002C2ED7" w:rsidRDefault="00907CDE" w:rsidP="002C2ED7">
      <w:pPr>
        <w:pStyle w:val="DPDIntro"/>
        <w:widowControl w:val="0"/>
        <w:numPr>
          <w:ilvl w:val="0"/>
          <w:numId w:val="36"/>
        </w:numPr>
        <w:spacing w:after="0"/>
        <w:rPr>
          <w:b w:val="0"/>
        </w:rPr>
      </w:pPr>
      <w:r>
        <w:rPr>
          <w:b w:val="0"/>
        </w:rPr>
        <w:t>BNP Paribas has also tested office development using secondary office market rent levels of about £45</w:t>
      </w:r>
      <w:r w:rsidR="00F34B29">
        <w:rPr>
          <w:b w:val="0"/>
        </w:rPr>
        <w:t xml:space="preserve">per </w:t>
      </w:r>
      <w:proofErr w:type="spellStart"/>
      <w:r>
        <w:rPr>
          <w:b w:val="0"/>
        </w:rPr>
        <w:t>sq.ft</w:t>
      </w:r>
      <w:proofErr w:type="spellEnd"/>
      <w:r>
        <w:rPr>
          <w:b w:val="0"/>
        </w:rPr>
        <w:t>.  This is broadly the rent level for</w:t>
      </w:r>
      <w:r w:rsidR="006A1924">
        <w:rPr>
          <w:b w:val="0"/>
        </w:rPr>
        <w:t xml:space="preserve"> new </w:t>
      </w:r>
      <w:r>
        <w:rPr>
          <w:b w:val="0"/>
        </w:rPr>
        <w:t>secondary offices.  At this rent level most of the tested schemes could readily accommodate a CIL of £16</w:t>
      </w:r>
      <w:r w:rsidR="00C70FC2">
        <w:rPr>
          <w:b w:val="0"/>
        </w:rPr>
        <w:t>8</w:t>
      </w:r>
      <w:r>
        <w:rPr>
          <w:b w:val="0"/>
        </w:rPr>
        <w:t>.74</w:t>
      </w:r>
      <w:r w:rsidR="00F34B29">
        <w:rPr>
          <w:b w:val="0"/>
        </w:rPr>
        <w:t xml:space="preserve"> per </w:t>
      </w:r>
      <w:proofErr w:type="spellStart"/>
      <w:r w:rsidR="00F34B29">
        <w:rPr>
          <w:b w:val="0"/>
        </w:rPr>
        <w:t>sq.m</w:t>
      </w:r>
      <w:proofErr w:type="spellEnd"/>
      <w:r>
        <w:rPr>
          <w:b w:val="0"/>
        </w:rPr>
        <w:t xml:space="preserve">.  The viability of </w:t>
      </w:r>
      <w:r w:rsidR="006A1924">
        <w:rPr>
          <w:b w:val="0"/>
        </w:rPr>
        <w:t>office development does not become challenging until rental levels fall to just over £31</w:t>
      </w:r>
      <w:r w:rsidR="00F34B29">
        <w:rPr>
          <w:b w:val="0"/>
        </w:rPr>
        <w:t xml:space="preserve"> per </w:t>
      </w:r>
      <w:proofErr w:type="spellStart"/>
      <w:r w:rsidR="006A1924">
        <w:rPr>
          <w:b w:val="0"/>
        </w:rPr>
        <w:t>sq.ft</w:t>
      </w:r>
      <w:proofErr w:type="spellEnd"/>
      <w:r w:rsidR="006A1924">
        <w:rPr>
          <w:b w:val="0"/>
        </w:rPr>
        <w:t xml:space="preserve">.  This level of rent is likely to be relevant to existing office rather than new office development.      </w:t>
      </w:r>
      <w:r>
        <w:rPr>
          <w:b w:val="0"/>
        </w:rPr>
        <w:t xml:space="preserve"> </w:t>
      </w:r>
    </w:p>
    <w:p w14:paraId="7EEEE95B" w14:textId="3214AF75" w:rsidR="00C9076F" w:rsidRDefault="00907CDE" w:rsidP="002C2ED7">
      <w:pPr>
        <w:pStyle w:val="DPDIntro"/>
        <w:widowControl w:val="0"/>
        <w:spacing w:after="0"/>
        <w:rPr>
          <w:b w:val="0"/>
        </w:rPr>
      </w:pPr>
      <w:r>
        <w:rPr>
          <w:b w:val="0"/>
        </w:rPr>
        <w:t xml:space="preserve">    </w:t>
      </w:r>
    </w:p>
    <w:p w14:paraId="6C054645" w14:textId="7C34D30B" w:rsidR="005237F9" w:rsidRPr="002C2ED7" w:rsidRDefault="00C9076F" w:rsidP="002C2ED7">
      <w:pPr>
        <w:pStyle w:val="DPDIntro"/>
        <w:widowControl w:val="0"/>
        <w:numPr>
          <w:ilvl w:val="0"/>
          <w:numId w:val="36"/>
        </w:numPr>
        <w:spacing w:after="0"/>
        <w:rPr>
          <w:rFonts w:eastAsia="Verdana" w:cs="Verdana"/>
          <w:szCs w:val="22"/>
        </w:rPr>
      </w:pPr>
      <w:r>
        <w:rPr>
          <w:b w:val="0"/>
        </w:rPr>
        <w:t xml:space="preserve">It is important to note that the headroom identified needs to fund both CIL and any </w:t>
      </w:r>
      <w:proofErr w:type="spellStart"/>
      <w:r>
        <w:rPr>
          <w:b w:val="0"/>
        </w:rPr>
        <w:t>Cowley</w:t>
      </w:r>
      <w:proofErr w:type="spellEnd"/>
      <w:r>
        <w:rPr>
          <w:b w:val="0"/>
        </w:rPr>
        <w:t xml:space="preserve"> Branch Line contributions that may be so</w:t>
      </w:r>
      <w:r w:rsidR="002C2ED7">
        <w:rPr>
          <w:b w:val="0"/>
        </w:rPr>
        <w:t>ught</w:t>
      </w:r>
      <w:r>
        <w:rPr>
          <w:b w:val="0"/>
        </w:rPr>
        <w:t xml:space="preserve">.  A viability buffer will also need to be provided.  </w:t>
      </w:r>
      <w:r w:rsidR="00364309">
        <w:rPr>
          <w:b w:val="0"/>
        </w:rPr>
        <w:t>Although t</w:t>
      </w:r>
      <w:r>
        <w:rPr>
          <w:b w:val="0"/>
        </w:rPr>
        <w:t xml:space="preserve">he proposed CIL rate of £168.74 </w:t>
      </w:r>
      <w:r w:rsidR="00652AF9">
        <w:rPr>
          <w:b w:val="0"/>
        </w:rPr>
        <w:t xml:space="preserve">per </w:t>
      </w:r>
      <w:proofErr w:type="spellStart"/>
      <w:r w:rsidR="00652AF9">
        <w:rPr>
          <w:b w:val="0"/>
        </w:rPr>
        <w:t>sq.m</w:t>
      </w:r>
      <w:proofErr w:type="spellEnd"/>
      <w:r w:rsidR="00652AF9">
        <w:rPr>
          <w:b w:val="0"/>
        </w:rPr>
        <w:t xml:space="preserve"> </w:t>
      </w:r>
      <w:r>
        <w:rPr>
          <w:b w:val="0"/>
        </w:rPr>
        <w:t xml:space="preserve">is considerably higher than the current indexed rate </w:t>
      </w:r>
      <w:r w:rsidRPr="00DC71A3">
        <w:rPr>
          <w:b w:val="0"/>
        </w:rPr>
        <w:t>£33.74</w:t>
      </w:r>
      <w:r w:rsidR="00652AF9">
        <w:rPr>
          <w:b w:val="0"/>
        </w:rPr>
        <w:t xml:space="preserve"> per </w:t>
      </w:r>
      <w:proofErr w:type="spellStart"/>
      <w:r w:rsidR="00652AF9">
        <w:rPr>
          <w:b w:val="0"/>
        </w:rPr>
        <w:t>sq.m</w:t>
      </w:r>
      <w:proofErr w:type="spellEnd"/>
      <w:r w:rsidR="00DC71A3" w:rsidRPr="008B4888">
        <w:t xml:space="preserve"> </w:t>
      </w:r>
      <w:r w:rsidR="00DC71A3" w:rsidRPr="008B4888">
        <w:rPr>
          <w:b w:val="0"/>
          <w:bCs w:val="0"/>
        </w:rPr>
        <w:t xml:space="preserve">the evidence </w:t>
      </w:r>
      <w:r w:rsidR="008B4888" w:rsidRPr="008B4888">
        <w:rPr>
          <w:b w:val="0"/>
          <w:bCs w:val="0"/>
        </w:rPr>
        <w:t>is that across all sites tested at both rental levels the average surplus is over £1100</w:t>
      </w:r>
      <w:r w:rsidR="00652AF9">
        <w:rPr>
          <w:b w:val="0"/>
          <w:bCs w:val="0"/>
        </w:rPr>
        <w:t xml:space="preserve"> per </w:t>
      </w:r>
      <w:proofErr w:type="spellStart"/>
      <w:r w:rsidR="00652AF9">
        <w:rPr>
          <w:b w:val="0"/>
          <w:bCs w:val="0"/>
        </w:rPr>
        <w:t>sq.m</w:t>
      </w:r>
      <w:proofErr w:type="spellEnd"/>
      <w:r w:rsidR="008B4888" w:rsidRPr="008B4888">
        <w:rPr>
          <w:b w:val="0"/>
          <w:bCs w:val="0"/>
        </w:rPr>
        <w:t xml:space="preserve">.  The </w:t>
      </w:r>
      <w:proofErr w:type="spellStart"/>
      <w:r w:rsidR="008B4888" w:rsidRPr="008B4888">
        <w:rPr>
          <w:b w:val="0"/>
          <w:bCs w:val="0"/>
        </w:rPr>
        <w:t>Cowley</w:t>
      </w:r>
      <w:proofErr w:type="spellEnd"/>
      <w:r w:rsidR="008B4888" w:rsidRPr="008B4888">
        <w:rPr>
          <w:b w:val="0"/>
          <w:bCs w:val="0"/>
        </w:rPr>
        <w:t xml:space="preserve"> Branch Line is an aspiration that </w:t>
      </w:r>
      <w:r w:rsidR="008B4888">
        <w:rPr>
          <w:b w:val="0"/>
          <w:bCs w:val="0"/>
        </w:rPr>
        <w:t>I understand is built into relevant s106 agreements at a rate of £36</w:t>
      </w:r>
      <w:r w:rsidR="00290D4F">
        <w:rPr>
          <w:b w:val="0"/>
          <w:bCs w:val="0"/>
        </w:rPr>
        <w:t xml:space="preserve"> per </w:t>
      </w:r>
      <w:proofErr w:type="spellStart"/>
      <w:r w:rsidR="00290D4F">
        <w:rPr>
          <w:b w:val="0"/>
          <w:bCs w:val="0"/>
        </w:rPr>
        <w:t>sq.m</w:t>
      </w:r>
      <w:proofErr w:type="spellEnd"/>
      <w:r w:rsidR="008B4888">
        <w:rPr>
          <w:b w:val="0"/>
          <w:bCs w:val="0"/>
        </w:rPr>
        <w:t>.</w:t>
      </w:r>
    </w:p>
    <w:p w14:paraId="17DBF39C" w14:textId="77777777" w:rsidR="002C2ED7" w:rsidRPr="002C2ED7" w:rsidRDefault="002C2ED7" w:rsidP="002C2ED7">
      <w:pPr>
        <w:pStyle w:val="DPDIntro"/>
        <w:widowControl w:val="0"/>
        <w:spacing w:after="120"/>
        <w:rPr>
          <w:rFonts w:eastAsia="Verdana" w:cs="Verdana"/>
          <w:szCs w:val="22"/>
        </w:rPr>
      </w:pPr>
    </w:p>
    <w:p w14:paraId="6FBF0F61" w14:textId="534BC6FA" w:rsidR="009161FE" w:rsidRPr="009161FE" w:rsidRDefault="009161FE" w:rsidP="008A3134">
      <w:pPr>
        <w:pStyle w:val="Heading2"/>
        <w:ind w:left="0" w:hanging="6"/>
        <w:jc w:val="left"/>
      </w:pPr>
      <w:bookmarkStart w:id="9" w:name="_Toc196226493"/>
      <w:r w:rsidRPr="009161FE">
        <w:t>Has evidence been provided that shows the proposed rate or rates would not undermine the deliverability of the plan (see National Planning Policy Framework paragraph 34</w:t>
      </w:r>
      <w:r w:rsidR="00D14A1D">
        <w:rPr>
          <w:rStyle w:val="FootnoteReference"/>
          <w:b/>
          <w:bCs/>
          <w:color w:val="0B0C0C"/>
          <w:szCs w:val="22"/>
        </w:rPr>
        <w:footnoteReference w:id="10"/>
      </w:r>
      <w:r w:rsidRPr="009161FE">
        <w:t>)</w:t>
      </w:r>
      <w:bookmarkEnd w:id="9"/>
      <w:r w:rsidR="00520C7C">
        <w:t>?</w:t>
      </w:r>
    </w:p>
    <w:p w14:paraId="627D7D34" w14:textId="0D393D25" w:rsidR="00A01B1C" w:rsidRDefault="00A01B1C" w:rsidP="00A01B1C">
      <w:pPr>
        <w:pStyle w:val="Default"/>
        <w:rPr>
          <w:rFonts w:ascii="Verdana" w:eastAsia="Verdana" w:hAnsi="Verdana" w:cs="Verdana"/>
          <w:sz w:val="22"/>
          <w:szCs w:val="22"/>
        </w:rPr>
      </w:pPr>
    </w:p>
    <w:p w14:paraId="69AE29FC" w14:textId="570B17E9" w:rsidR="00F61883" w:rsidRDefault="00761989" w:rsidP="002C2ED7">
      <w:pPr>
        <w:pStyle w:val="DPDIntro"/>
        <w:widowControl w:val="0"/>
        <w:numPr>
          <w:ilvl w:val="0"/>
          <w:numId w:val="36"/>
        </w:numPr>
        <w:spacing w:after="0"/>
        <w:rPr>
          <w:b w:val="0"/>
        </w:rPr>
      </w:pPr>
      <w:r w:rsidRPr="00520373">
        <w:rPr>
          <w:b w:val="0"/>
        </w:rPr>
        <w:t xml:space="preserve">The Council’s decision to </w:t>
      </w:r>
      <w:proofErr w:type="gramStart"/>
      <w:r w:rsidR="008B4888">
        <w:rPr>
          <w:b w:val="0"/>
        </w:rPr>
        <w:t>is</w:t>
      </w:r>
      <w:proofErr w:type="gramEnd"/>
      <w:r w:rsidRPr="00520373">
        <w:rPr>
          <w:b w:val="0"/>
        </w:rPr>
        <w:t xml:space="preserve"> based on </w:t>
      </w:r>
      <w:r w:rsidR="008B4888">
        <w:rPr>
          <w:b w:val="0"/>
        </w:rPr>
        <w:t xml:space="preserve">a comprehensive set of </w:t>
      </w:r>
      <w:r w:rsidRPr="00520373">
        <w:rPr>
          <w:b w:val="0"/>
        </w:rPr>
        <w:t xml:space="preserve">assumptions about development values and likely costs. </w:t>
      </w:r>
    </w:p>
    <w:p w14:paraId="3864E02C" w14:textId="77777777" w:rsidR="002C2ED7" w:rsidRDefault="002C2ED7" w:rsidP="002C2ED7">
      <w:pPr>
        <w:pStyle w:val="DPDIntro"/>
        <w:widowControl w:val="0"/>
        <w:spacing w:after="0"/>
        <w:ind w:left="393"/>
        <w:rPr>
          <w:b w:val="0"/>
        </w:rPr>
      </w:pPr>
    </w:p>
    <w:p w14:paraId="56E311C1" w14:textId="22D32738" w:rsidR="007F334E" w:rsidRDefault="00F61883" w:rsidP="002C2ED7">
      <w:pPr>
        <w:pStyle w:val="DPDIntro"/>
        <w:widowControl w:val="0"/>
        <w:numPr>
          <w:ilvl w:val="0"/>
          <w:numId w:val="36"/>
        </w:numPr>
        <w:spacing w:after="0"/>
        <w:rPr>
          <w:b w:val="0"/>
        </w:rPr>
      </w:pPr>
      <w:r>
        <w:rPr>
          <w:b w:val="0"/>
        </w:rPr>
        <w:lastRenderedPageBreak/>
        <w:t xml:space="preserve">The </w:t>
      </w:r>
      <w:r w:rsidR="00E43382">
        <w:rPr>
          <w:b w:val="0"/>
        </w:rPr>
        <w:t xml:space="preserve">existing </w:t>
      </w:r>
      <w:r>
        <w:rPr>
          <w:b w:val="0"/>
        </w:rPr>
        <w:t>agricultural</w:t>
      </w:r>
      <w:r w:rsidR="00E43382">
        <w:rPr>
          <w:b w:val="0"/>
        </w:rPr>
        <w:t xml:space="preserve"> use value and the premium multiplier have been challenged as have the assumptions about </w:t>
      </w:r>
      <w:r w:rsidR="00F74E5A">
        <w:rPr>
          <w:b w:val="0"/>
        </w:rPr>
        <w:t xml:space="preserve">development costs, </w:t>
      </w:r>
      <w:r w:rsidR="00E43382">
        <w:rPr>
          <w:b w:val="0"/>
        </w:rPr>
        <w:t>developers profit, infrastructure costs and the allowance for external works</w:t>
      </w:r>
      <w:r w:rsidR="00073E77">
        <w:rPr>
          <w:b w:val="0"/>
        </w:rPr>
        <w:t>.</w:t>
      </w:r>
      <w:r w:rsidR="00F74E5A">
        <w:rPr>
          <w:b w:val="0"/>
        </w:rPr>
        <w:t xml:space="preserve">  There have also been challenges to the transparency of the VA evidence and the timing of the introduction of a revised CI</w:t>
      </w:r>
      <w:r w:rsidR="007F334E">
        <w:rPr>
          <w:b w:val="0"/>
        </w:rPr>
        <w:t>L</w:t>
      </w:r>
      <w:r w:rsidR="00F74E5A">
        <w:rPr>
          <w:b w:val="0"/>
        </w:rPr>
        <w:t xml:space="preserve"> rate.</w:t>
      </w:r>
      <w:r w:rsidR="00C322F3">
        <w:rPr>
          <w:b w:val="0"/>
        </w:rPr>
        <w:t xml:space="preserve">  The scale of the increase in the proposed CIL rate is raised by several as an issue of major concern.  </w:t>
      </w:r>
    </w:p>
    <w:p w14:paraId="344E808F" w14:textId="77777777" w:rsidR="002C2ED7" w:rsidRDefault="002C2ED7" w:rsidP="002C2ED7">
      <w:pPr>
        <w:pStyle w:val="DPDIntro"/>
        <w:widowControl w:val="0"/>
        <w:spacing w:after="0"/>
        <w:rPr>
          <w:b w:val="0"/>
        </w:rPr>
      </w:pPr>
    </w:p>
    <w:p w14:paraId="6103A189" w14:textId="5642EEDA" w:rsidR="00D248A6" w:rsidRDefault="00EA3C78" w:rsidP="002C2ED7">
      <w:pPr>
        <w:pStyle w:val="DPDIntro"/>
        <w:widowControl w:val="0"/>
        <w:numPr>
          <w:ilvl w:val="0"/>
          <w:numId w:val="36"/>
        </w:numPr>
        <w:spacing w:after="0"/>
        <w:rPr>
          <w:b w:val="0"/>
        </w:rPr>
      </w:pPr>
      <w:r w:rsidRPr="00EA3C78">
        <w:rPr>
          <w:b w:val="0"/>
        </w:rPr>
        <w:t>The contentions about transparency and timing are not accepted.  In relation to transparency the national Planning Policy Guidance requires a broad area-based approach using appropriate available evidence.</w:t>
      </w:r>
      <w:r>
        <w:rPr>
          <w:b w:val="0"/>
        </w:rPr>
        <w:t xml:space="preserve">  </w:t>
      </w:r>
      <w:r w:rsidR="00D9701A" w:rsidRPr="00EA3C78">
        <w:rPr>
          <w:b w:val="0"/>
        </w:rPr>
        <w:t>BNP Paribas in the VA set</w:t>
      </w:r>
      <w:r w:rsidR="00D248A6" w:rsidRPr="00EA3C78">
        <w:rPr>
          <w:b w:val="0"/>
        </w:rPr>
        <w:t>s</w:t>
      </w:r>
      <w:r w:rsidR="00D9701A" w:rsidRPr="00EA3C78">
        <w:rPr>
          <w:b w:val="0"/>
        </w:rPr>
        <w:t xml:space="preserve"> out a comprehensive </w:t>
      </w:r>
      <w:r w:rsidR="00D248A6" w:rsidRPr="00EA3C78">
        <w:rPr>
          <w:b w:val="0"/>
        </w:rPr>
        <w:t xml:space="preserve">range </w:t>
      </w:r>
      <w:r w:rsidR="00D9701A" w:rsidRPr="00EA3C78">
        <w:rPr>
          <w:b w:val="0"/>
        </w:rPr>
        <w:t xml:space="preserve">of assumptions used in the </w:t>
      </w:r>
      <w:r w:rsidR="00D75658" w:rsidRPr="00EA3C78">
        <w:rPr>
          <w:b w:val="0"/>
        </w:rPr>
        <w:t>assessment.  Rents and yields used are dealt with.  In terms of costs build the base costs are explained and a range of additional costs including zero carbon and BREEAM, accessibility standards, biodiversity net gain and s106 costs are detailed.  The way exceptional costs are dealt with is set out</w:t>
      </w:r>
      <w:r w:rsidR="0099694B" w:rsidRPr="00EA3C78">
        <w:rPr>
          <w:b w:val="0"/>
        </w:rPr>
        <w:t xml:space="preserve"> as are the assumptions about </w:t>
      </w:r>
      <w:proofErr w:type="gramStart"/>
      <w:r w:rsidR="0099694B" w:rsidRPr="00EA3C78">
        <w:rPr>
          <w:b w:val="0"/>
        </w:rPr>
        <w:t>developers</w:t>
      </w:r>
      <w:proofErr w:type="gramEnd"/>
      <w:r w:rsidR="0099694B" w:rsidRPr="00EA3C78">
        <w:rPr>
          <w:b w:val="0"/>
        </w:rPr>
        <w:t xml:space="preserve"> profit.</w:t>
      </w:r>
      <w:r w:rsidR="00D75658" w:rsidRPr="00EA3C78">
        <w:rPr>
          <w:b w:val="0"/>
        </w:rPr>
        <w:t xml:space="preserve">  BNP Paribas use </w:t>
      </w:r>
      <w:r w:rsidR="0099694B" w:rsidRPr="00EA3C78">
        <w:rPr>
          <w:b w:val="0"/>
        </w:rPr>
        <w:t>an</w:t>
      </w:r>
      <w:r w:rsidR="00D75658" w:rsidRPr="00EA3C78">
        <w:rPr>
          <w:b w:val="0"/>
        </w:rPr>
        <w:t xml:space="preserve"> approach </w:t>
      </w:r>
      <w:r w:rsidR="0099694B" w:rsidRPr="00EA3C78">
        <w:rPr>
          <w:b w:val="0"/>
        </w:rPr>
        <w:t xml:space="preserve">to explain how they have reached their viability conclusions </w:t>
      </w:r>
      <w:r w:rsidR="00D75658" w:rsidRPr="00EA3C78">
        <w:rPr>
          <w:b w:val="0"/>
        </w:rPr>
        <w:t xml:space="preserve">that has been tried and </w:t>
      </w:r>
      <w:r w:rsidR="0099694B" w:rsidRPr="00EA3C78">
        <w:rPr>
          <w:b w:val="0"/>
        </w:rPr>
        <w:t xml:space="preserve">found acceptable </w:t>
      </w:r>
      <w:r w:rsidR="00D75658" w:rsidRPr="00EA3C78">
        <w:rPr>
          <w:b w:val="0"/>
        </w:rPr>
        <w:t xml:space="preserve">in a number of </w:t>
      </w:r>
      <w:r w:rsidR="0099694B" w:rsidRPr="00EA3C78">
        <w:rPr>
          <w:b w:val="0"/>
        </w:rPr>
        <w:t xml:space="preserve">CIL examinations.  A lack of transparency </w:t>
      </w:r>
      <w:r w:rsidR="00D248A6" w:rsidRPr="00EA3C78">
        <w:rPr>
          <w:b w:val="0"/>
        </w:rPr>
        <w:t xml:space="preserve">criticism </w:t>
      </w:r>
      <w:r w:rsidR="0099694B" w:rsidRPr="00EA3C78">
        <w:rPr>
          <w:b w:val="0"/>
        </w:rPr>
        <w:t>could be directed at the initial VA as it only test</w:t>
      </w:r>
      <w:r w:rsidR="00290D4F">
        <w:rPr>
          <w:b w:val="0"/>
        </w:rPr>
        <w:t>ed</w:t>
      </w:r>
      <w:r w:rsidR="0099694B" w:rsidRPr="00EA3C78">
        <w:rPr>
          <w:b w:val="0"/>
        </w:rPr>
        <w:t xml:space="preserve"> two offices/R&amp;D typologies and did not undertake any site-</w:t>
      </w:r>
      <w:r w:rsidR="00D248A6" w:rsidRPr="00EA3C78">
        <w:rPr>
          <w:b w:val="0"/>
        </w:rPr>
        <w:t>s</w:t>
      </w:r>
      <w:r w:rsidR="0099694B" w:rsidRPr="00EA3C78">
        <w:rPr>
          <w:b w:val="0"/>
        </w:rPr>
        <w:t>pecific testing</w:t>
      </w:r>
      <w:r w:rsidR="00D248A6" w:rsidRPr="00EA3C78">
        <w:rPr>
          <w:b w:val="0"/>
        </w:rPr>
        <w:t>.</w:t>
      </w:r>
      <w:r w:rsidR="0099694B" w:rsidRPr="00EA3C78">
        <w:rPr>
          <w:b w:val="0"/>
        </w:rPr>
        <w:t xml:space="preserve">  The </w:t>
      </w:r>
      <w:proofErr w:type="gramStart"/>
      <w:r w:rsidR="0099694B" w:rsidRPr="00EA3C78">
        <w:rPr>
          <w:b w:val="0"/>
        </w:rPr>
        <w:t>AN</w:t>
      </w:r>
      <w:proofErr w:type="gramEnd"/>
      <w:r w:rsidR="0099694B" w:rsidRPr="00EA3C78">
        <w:rPr>
          <w:b w:val="0"/>
        </w:rPr>
        <w:t xml:space="preserve"> corrects this</w:t>
      </w:r>
      <w:r w:rsidR="00D248A6" w:rsidRPr="00EA3C78">
        <w:rPr>
          <w:b w:val="0"/>
        </w:rPr>
        <w:t xml:space="preserve"> by testing 19 sites. </w:t>
      </w:r>
      <w:r w:rsidR="0099694B" w:rsidRPr="00EA3C78">
        <w:rPr>
          <w:b w:val="0"/>
        </w:rPr>
        <w:t xml:space="preserve"> </w:t>
      </w:r>
    </w:p>
    <w:p w14:paraId="5E0E78BC" w14:textId="77777777" w:rsidR="002C2ED7" w:rsidRPr="00EA3C78" w:rsidRDefault="002C2ED7" w:rsidP="002C2ED7">
      <w:pPr>
        <w:pStyle w:val="DPDIntro"/>
        <w:widowControl w:val="0"/>
        <w:spacing w:after="0"/>
        <w:rPr>
          <w:b w:val="0"/>
        </w:rPr>
      </w:pPr>
    </w:p>
    <w:p w14:paraId="67119DA3" w14:textId="4F6FCA4F" w:rsidR="002C2ED7" w:rsidRDefault="00D248A6" w:rsidP="002C2ED7">
      <w:pPr>
        <w:pStyle w:val="DPDIntro"/>
        <w:widowControl w:val="0"/>
        <w:numPr>
          <w:ilvl w:val="0"/>
          <w:numId w:val="36"/>
        </w:numPr>
        <w:spacing w:after="0"/>
        <w:rPr>
          <w:b w:val="0"/>
        </w:rPr>
      </w:pPr>
      <w:r>
        <w:rPr>
          <w:b w:val="0"/>
        </w:rPr>
        <w:t>As regards the timing of the partial review</w:t>
      </w:r>
      <w:r w:rsidR="00290D4F">
        <w:rPr>
          <w:b w:val="0"/>
        </w:rPr>
        <w:t>,</w:t>
      </w:r>
      <w:r>
        <w:rPr>
          <w:b w:val="0"/>
        </w:rPr>
        <w:t xml:space="preserve"> no point would be served in delaying the partial review </w:t>
      </w:r>
      <w:r w:rsidR="00FD37F3">
        <w:rPr>
          <w:b w:val="0"/>
        </w:rPr>
        <w:t xml:space="preserve">until the emerging </w:t>
      </w:r>
      <w:r w:rsidR="00443B8D">
        <w:rPr>
          <w:b w:val="0"/>
        </w:rPr>
        <w:t>L</w:t>
      </w:r>
      <w:r w:rsidR="00FD37F3">
        <w:rPr>
          <w:b w:val="0"/>
        </w:rPr>
        <w:t xml:space="preserve">ocal </w:t>
      </w:r>
      <w:r w:rsidR="00443B8D">
        <w:rPr>
          <w:b w:val="0"/>
        </w:rPr>
        <w:t>P</w:t>
      </w:r>
      <w:r w:rsidR="00FD37F3">
        <w:rPr>
          <w:b w:val="0"/>
        </w:rPr>
        <w:t>lan has been adopted.</w:t>
      </w:r>
      <w:r w:rsidR="007C491F">
        <w:rPr>
          <w:b w:val="0"/>
        </w:rPr>
        <w:t xml:space="preserve">  The emerging </w:t>
      </w:r>
      <w:r w:rsidR="00443B8D">
        <w:rPr>
          <w:b w:val="0"/>
        </w:rPr>
        <w:t>L</w:t>
      </w:r>
      <w:r w:rsidR="007C491F">
        <w:rPr>
          <w:b w:val="0"/>
        </w:rPr>
        <w:t xml:space="preserve">ocal </w:t>
      </w:r>
      <w:r w:rsidR="00443B8D">
        <w:rPr>
          <w:b w:val="0"/>
        </w:rPr>
        <w:t>P</w:t>
      </w:r>
      <w:r w:rsidR="007C491F">
        <w:rPr>
          <w:b w:val="0"/>
        </w:rPr>
        <w:t xml:space="preserve">lan was withdrawn from examination because of a concern from the examining </w:t>
      </w:r>
      <w:r w:rsidR="002C2ED7">
        <w:rPr>
          <w:b w:val="0"/>
        </w:rPr>
        <w:t>I</w:t>
      </w:r>
      <w:r w:rsidR="007C491F">
        <w:rPr>
          <w:b w:val="0"/>
        </w:rPr>
        <w:t>nspectors about the delivery of housing and the duty to co-operate.  In relation to non-residential development</w:t>
      </w:r>
      <w:r w:rsidR="002C2ED7">
        <w:rPr>
          <w:b w:val="0"/>
        </w:rPr>
        <w:t>,</w:t>
      </w:r>
      <w:r w:rsidR="007C491F">
        <w:rPr>
          <w:b w:val="0"/>
        </w:rPr>
        <w:t xml:space="preserve"> the broad thrust </w:t>
      </w:r>
      <w:r w:rsidR="007C491F" w:rsidRPr="00BC100A">
        <w:rPr>
          <w:b w:val="0"/>
        </w:rPr>
        <w:t xml:space="preserve">of the emerging </w:t>
      </w:r>
      <w:r w:rsidR="00443B8D" w:rsidRPr="00BC100A">
        <w:rPr>
          <w:b w:val="0"/>
        </w:rPr>
        <w:t>L</w:t>
      </w:r>
      <w:r w:rsidR="007C491F" w:rsidRPr="00BC100A">
        <w:rPr>
          <w:b w:val="0"/>
        </w:rPr>
        <w:t xml:space="preserve">ocal </w:t>
      </w:r>
      <w:r w:rsidR="00443B8D" w:rsidRPr="00BC100A">
        <w:rPr>
          <w:b w:val="0"/>
        </w:rPr>
        <w:t>P</w:t>
      </w:r>
      <w:r w:rsidR="007C491F" w:rsidRPr="00BC100A">
        <w:rPr>
          <w:b w:val="0"/>
        </w:rPr>
        <w:t xml:space="preserve">lan is </w:t>
      </w:r>
      <w:r w:rsidR="00EA3C78" w:rsidRPr="00BC100A">
        <w:rPr>
          <w:b w:val="0"/>
        </w:rPr>
        <w:t>unlikely to be radically revised</w:t>
      </w:r>
      <w:r w:rsidR="00BC100A" w:rsidRPr="00BC100A">
        <w:rPr>
          <w:b w:val="0"/>
        </w:rPr>
        <w:t>,</w:t>
      </w:r>
      <w:r w:rsidR="00EA3C78" w:rsidRPr="00BC100A">
        <w:rPr>
          <w:b w:val="0"/>
        </w:rPr>
        <w:t xml:space="preserve"> not least because the Council is anxious to have an up-to-date </w:t>
      </w:r>
      <w:r w:rsidR="00443B8D" w:rsidRPr="00BC100A">
        <w:rPr>
          <w:b w:val="0"/>
        </w:rPr>
        <w:t>L</w:t>
      </w:r>
      <w:r w:rsidR="00EA3C78" w:rsidRPr="00BC100A">
        <w:rPr>
          <w:b w:val="0"/>
        </w:rPr>
        <w:t xml:space="preserve">ocal </w:t>
      </w:r>
      <w:r w:rsidR="00443B8D" w:rsidRPr="00BC100A">
        <w:rPr>
          <w:b w:val="0"/>
        </w:rPr>
        <w:t>P</w:t>
      </w:r>
      <w:r w:rsidR="00EA3C78" w:rsidRPr="00BC100A">
        <w:rPr>
          <w:b w:val="0"/>
        </w:rPr>
        <w:t xml:space="preserve">lan in place as soon as possible.  Given this situation and the current evidence about </w:t>
      </w:r>
      <w:r w:rsidR="00EA3C78">
        <w:rPr>
          <w:b w:val="0"/>
        </w:rPr>
        <w:t>rental levels for offices</w:t>
      </w:r>
      <w:r w:rsidR="00290D4F">
        <w:rPr>
          <w:b w:val="0"/>
        </w:rPr>
        <w:t xml:space="preserve"> and </w:t>
      </w:r>
      <w:r w:rsidR="00EA3C78">
        <w:rPr>
          <w:b w:val="0"/>
        </w:rPr>
        <w:t>R&amp;D development</w:t>
      </w:r>
      <w:r w:rsidR="00290D4F">
        <w:rPr>
          <w:b w:val="0"/>
        </w:rPr>
        <w:t>,</w:t>
      </w:r>
      <w:r w:rsidR="00EA3C78">
        <w:rPr>
          <w:b w:val="0"/>
        </w:rPr>
        <w:t xml:space="preserve"> it is sensible for the Council to review the CIL rate for these types of development at this stage in the interests of getting an appropriate level of funding for much needed infrastructure.  </w:t>
      </w:r>
      <w:r w:rsidR="007C491F">
        <w:rPr>
          <w:b w:val="0"/>
        </w:rPr>
        <w:t xml:space="preserve">  </w:t>
      </w:r>
      <w:r>
        <w:rPr>
          <w:b w:val="0"/>
        </w:rPr>
        <w:t xml:space="preserve">     </w:t>
      </w:r>
    </w:p>
    <w:p w14:paraId="42760A3A" w14:textId="203331FE" w:rsidR="00D9701A" w:rsidRDefault="0099694B" w:rsidP="002C2ED7">
      <w:pPr>
        <w:pStyle w:val="DPDIntro"/>
        <w:widowControl w:val="0"/>
        <w:spacing w:after="0"/>
        <w:rPr>
          <w:b w:val="0"/>
        </w:rPr>
      </w:pPr>
      <w:r>
        <w:rPr>
          <w:b w:val="0"/>
        </w:rPr>
        <w:t xml:space="preserve">   </w:t>
      </w:r>
      <w:r w:rsidR="00D75658">
        <w:rPr>
          <w:b w:val="0"/>
        </w:rPr>
        <w:t xml:space="preserve">    </w:t>
      </w:r>
      <w:r w:rsidR="00D9701A">
        <w:rPr>
          <w:b w:val="0"/>
        </w:rPr>
        <w:t xml:space="preserve">   </w:t>
      </w:r>
    </w:p>
    <w:p w14:paraId="24673473" w14:textId="2E33C2FE" w:rsidR="00D9701A" w:rsidRDefault="00C322F3" w:rsidP="002C2ED7">
      <w:pPr>
        <w:pStyle w:val="DPDIntro"/>
        <w:widowControl w:val="0"/>
        <w:numPr>
          <w:ilvl w:val="0"/>
          <w:numId w:val="36"/>
        </w:numPr>
        <w:spacing w:after="0"/>
        <w:rPr>
          <w:b w:val="0"/>
        </w:rPr>
      </w:pPr>
      <w:r>
        <w:rPr>
          <w:b w:val="0"/>
        </w:rPr>
        <w:t>A comparison is drawn in one representation to other rates in the South East</w:t>
      </w:r>
      <w:r w:rsidR="002C2ED7">
        <w:rPr>
          <w:b w:val="0"/>
        </w:rPr>
        <w:t>,</w:t>
      </w:r>
      <w:r>
        <w:rPr>
          <w:b w:val="0"/>
        </w:rPr>
        <w:t xml:space="preserve"> notably </w:t>
      </w:r>
      <w:r w:rsidRPr="00BC100A">
        <w:rPr>
          <w:b w:val="0"/>
        </w:rPr>
        <w:t>those in the Oxford Cambridge Arc.  The comparison with Cambridge is</w:t>
      </w:r>
      <w:r w:rsidR="00BC100A" w:rsidRPr="00BC100A">
        <w:rPr>
          <w:b w:val="0"/>
        </w:rPr>
        <w:t xml:space="preserve">, in practice, </w:t>
      </w:r>
      <w:r w:rsidR="006F4A59" w:rsidRPr="00BC100A">
        <w:rPr>
          <w:b w:val="0"/>
        </w:rPr>
        <w:t xml:space="preserve">pointless as Cambridge </w:t>
      </w:r>
      <w:r w:rsidR="006F4A59">
        <w:rPr>
          <w:b w:val="0"/>
        </w:rPr>
        <w:t xml:space="preserve">does not operate a CIL policy and makes arrangements for the delivery of infrastructure on an entirely different basis.  </w:t>
      </w:r>
      <w:r w:rsidR="00293965">
        <w:rPr>
          <w:b w:val="0"/>
        </w:rPr>
        <w:t xml:space="preserve">The comparison drawn with a number of other authorities in the Oxford Cambridge Arc </w:t>
      </w:r>
      <w:r w:rsidR="00D9701A">
        <w:rPr>
          <w:b w:val="0"/>
        </w:rPr>
        <w:t xml:space="preserve">that do operate a CIL </w:t>
      </w:r>
      <w:r w:rsidR="00293965">
        <w:rPr>
          <w:b w:val="0"/>
        </w:rPr>
        <w:t xml:space="preserve">is </w:t>
      </w:r>
      <w:r w:rsidR="00D9701A">
        <w:rPr>
          <w:b w:val="0"/>
        </w:rPr>
        <w:t xml:space="preserve">also </w:t>
      </w:r>
      <w:r w:rsidR="001F7FF2">
        <w:rPr>
          <w:b w:val="0"/>
        </w:rPr>
        <w:t>un</w:t>
      </w:r>
      <w:r w:rsidR="00293965">
        <w:rPr>
          <w:b w:val="0"/>
        </w:rPr>
        <w:t xml:space="preserve">helpful.  There is no point in quoting local authorities that have completely different economic </w:t>
      </w:r>
      <w:r w:rsidR="00D9701A">
        <w:rPr>
          <w:b w:val="0"/>
        </w:rPr>
        <w:t>characteristics and drivers compared to</w:t>
      </w:r>
      <w:r w:rsidR="00293965">
        <w:rPr>
          <w:b w:val="0"/>
        </w:rPr>
        <w:t xml:space="preserve"> Oxford.</w:t>
      </w:r>
    </w:p>
    <w:p w14:paraId="1820F23B" w14:textId="77777777" w:rsidR="002C2ED7" w:rsidRDefault="002C2ED7" w:rsidP="002C2ED7">
      <w:pPr>
        <w:pStyle w:val="DPDIntro"/>
        <w:widowControl w:val="0"/>
        <w:spacing w:after="0"/>
        <w:rPr>
          <w:b w:val="0"/>
        </w:rPr>
      </w:pPr>
    </w:p>
    <w:p w14:paraId="3A82B796" w14:textId="7C692EC7" w:rsidR="0088630C" w:rsidRDefault="00D07F12" w:rsidP="002C2ED7">
      <w:pPr>
        <w:pStyle w:val="DPDIntro"/>
        <w:widowControl w:val="0"/>
        <w:numPr>
          <w:ilvl w:val="0"/>
          <w:numId w:val="36"/>
        </w:numPr>
        <w:spacing w:after="0"/>
        <w:rPr>
          <w:b w:val="0"/>
        </w:rPr>
      </w:pPr>
      <w:r>
        <w:rPr>
          <w:b w:val="0"/>
        </w:rPr>
        <w:t>As regards benchmark land values</w:t>
      </w:r>
      <w:r w:rsidR="005D7834">
        <w:rPr>
          <w:b w:val="0"/>
        </w:rPr>
        <w:t>,</w:t>
      </w:r>
      <w:r>
        <w:rPr>
          <w:b w:val="0"/>
        </w:rPr>
        <w:t xml:space="preserve"> it is appropriate for the viability testing to be based on broad evidence rather than on evidence from a limited number of property transactions.  This is because the aspirations and requirements of both buyers and sellers </w:t>
      </w:r>
      <w:r w:rsidR="00B723E6">
        <w:rPr>
          <w:b w:val="0"/>
        </w:rPr>
        <w:t xml:space="preserve">can be </w:t>
      </w:r>
      <w:r>
        <w:rPr>
          <w:b w:val="0"/>
        </w:rPr>
        <w:t xml:space="preserve">very varied.  A transaction </w:t>
      </w:r>
      <w:r w:rsidR="00B723E6">
        <w:rPr>
          <w:b w:val="0"/>
        </w:rPr>
        <w:t>may</w:t>
      </w:r>
      <w:r>
        <w:rPr>
          <w:b w:val="0"/>
        </w:rPr>
        <w:t xml:space="preserve"> for example reflect a</w:t>
      </w:r>
      <w:r w:rsidR="00FC629F">
        <w:rPr>
          <w:b w:val="0"/>
        </w:rPr>
        <w:t xml:space="preserve">n urgent </w:t>
      </w:r>
      <w:r>
        <w:rPr>
          <w:b w:val="0"/>
        </w:rPr>
        <w:t>need on the part of the purchaser to acquire land</w:t>
      </w:r>
      <w:r w:rsidR="0081411A">
        <w:rPr>
          <w:b w:val="0"/>
        </w:rPr>
        <w:t>.</w:t>
      </w:r>
      <w:r w:rsidR="00B723E6">
        <w:rPr>
          <w:b w:val="0"/>
        </w:rPr>
        <w:t xml:space="preserve">  On the other hand</w:t>
      </w:r>
      <w:r w:rsidR="00BC100A">
        <w:rPr>
          <w:b w:val="0"/>
        </w:rPr>
        <w:t>,</w:t>
      </w:r>
      <w:r w:rsidR="00B723E6">
        <w:rPr>
          <w:b w:val="0"/>
        </w:rPr>
        <w:t xml:space="preserve"> </w:t>
      </w:r>
      <w:r>
        <w:rPr>
          <w:b w:val="0"/>
        </w:rPr>
        <w:t xml:space="preserve">it could </w:t>
      </w:r>
      <w:r w:rsidR="00B723E6">
        <w:rPr>
          <w:b w:val="0"/>
        </w:rPr>
        <w:t xml:space="preserve">reflect a need for the vendor to raise capital.  </w:t>
      </w:r>
      <w:r w:rsidR="00B01FF6">
        <w:rPr>
          <w:b w:val="0"/>
        </w:rPr>
        <w:t xml:space="preserve">These </w:t>
      </w:r>
      <w:r w:rsidR="00B01FF6">
        <w:rPr>
          <w:b w:val="0"/>
        </w:rPr>
        <w:lastRenderedPageBreak/>
        <w:t>consideration</w:t>
      </w:r>
      <w:r w:rsidR="000F2043">
        <w:rPr>
          <w:b w:val="0"/>
        </w:rPr>
        <w:t>s</w:t>
      </w:r>
      <w:r w:rsidR="00B01FF6">
        <w:rPr>
          <w:b w:val="0"/>
        </w:rPr>
        <w:t xml:space="preserve"> are relevant to the premium applied to establish benchmark values</w:t>
      </w:r>
      <w:r w:rsidR="000F2043">
        <w:rPr>
          <w:b w:val="0"/>
        </w:rPr>
        <w:t xml:space="preserve">.  This is why </w:t>
      </w:r>
      <w:r w:rsidR="00B01FF6">
        <w:rPr>
          <w:b w:val="0"/>
        </w:rPr>
        <w:t xml:space="preserve">it is sensible to apply a mid-point premium </w:t>
      </w:r>
      <w:r w:rsidR="000F2043">
        <w:rPr>
          <w:b w:val="0"/>
        </w:rPr>
        <w:t xml:space="preserve">to </w:t>
      </w:r>
      <w:r w:rsidR="00FC629F">
        <w:rPr>
          <w:b w:val="0"/>
        </w:rPr>
        <w:t xml:space="preserve">broad </w:t>
      </w:r>
      <w:r w:rsidR="000F2043">
        <w:rPr>
          <w:b w:val="0"/>
        </w:rPr>
        <w:t xml:space="preserve">agricultural land values when considering </w:t>
      </w:r>
      <w:r w:rsidR="0088630C">
        <w:rPr>
          <w:b w:val="0"/>
        </w:rPr>
        <w:t xml:space="preserve">benchmark values on </w:t>
      </w:r>
      <w:proofErr w:type="gramStart"/>
      <w:r w:rsidR="000F2043">
        <w:rPr>
          <w:b w:val="0"/>
        </w:rPr>
        <w:t>greenfield</w:t>
      </w:r>
      <w:proofErr w:type="gramEnd"/>
      <w:r w:rsidR="000F2043">
        <w:rPr>
          <w:b w:val="0"/>
        </w:rPr>
        <w:t xml:space="preserve"> sites.</w:t>
      </w:r>
    </w:p>
    <w:p w14:paraId="2287FA2B" w14:textId="77777777" w:rsidR="00872099" w:rsidRDefault="00872099" w:rsidP="002C2ED7">
      <w:pPr>
        <w:pStyle w:val="DPDIntro"/>
        <w:widowControl w:val="0"/>
        <w:spacing w:after="0"/>
        <w:rPr>
          <w:b w:val="0"/>
        </w:rPr>
      </w:pPr>
    </w:p>
    <w:p w14:paraId="2D03CB99" w14:textId="78A0E9FF" w:rsidR="00B2624F" w:rsidRDefault="0088630C" w:rsidP="002C2ED7">
      <w:pPr>
        <w:pStyle w:val="DPDIntro"/>
        <w:widowControl w:val="0"/>
        <w:numPr>
          <w:ilvl w:val="0"/>
          <w:numId w:val="36"/>
        </w:numPr>
        <w:spacing w:after="0"/>
        <w:rPr>
          <w:b w:val="0"/>
        </w:rPr>
      </w:pPr>
      <w:r>
        <w:rPr>
          <w:b w:val="0"/>
        </w:rPr>
        <w:t xml:space="preserve">On </w:t>
      </w:r>
      <w:proofErr w:type="gramStart"/>
      <w:r>
        <w:rPr>
          <w:b w:val="0"/>
        </w:rPr>
        <w:t>developers</w:t>
      </w:r>
      <w:proofErr w:type="gramEnd"/>
      <w:r>
        <w:rPr>
          <w:b w:val="0"/>
        </w:rPr>
        <w:t xml:space="preserve"> profit</w:t>
      </w:r>
      <w:r w:rsidR="005D7834">
        <w:rPr>
          <w:b w:val="0"/>
        </w:rPr>
        <w:t>,</w:t>
      </w:r>
      <w:r>
        <w:rPr>
          <w:b w:val="0"/>
        </w:rPr>
        <w:t xml:space="preserve"> the figure used </w:t>
      </w:r>
      <w:r w:rsidR="003F695D">
        <w:rPr>
          <w:b w:val="0"/>
        </w:rPr>
        <w:t xml:space="preserve">in the VA reflects a standard approach.  There is no convincing evidence of additional risk factors </w:t>
      </w:r>
      <w:r w:rsidR="00B74336">
        <w:rPr>
          <w:b w:val="0"/>
        </w:rPr>
        <w:t xml:space="preserve">in Oxford </w:t>
      </w:r>
      <w:r w:rsidR="003F695D">
        <w:rPr>
          <w:b w:val="0"/>
        </w:rPr>
        <w:t>that might justify</w:t>
      </w:r>
      <w:r w:rsidR="00B74336">
        <w:rPr>
          <w:b w:val="0"/>
        </w:rPr>
        <w:t xml:space="preserve"> a higher profit margin.  The Council regards the market for office/R&amp;D in the City as healthy and this view is supported by the number of large proposals </w:t>
      </w:r>
      <w:r w:rsidR="00B2624F">
        <w:rPr>
          <w:b w:val="0"/>
        </w:rPr>
        <w:t>that are under way, have planning permission or are currently subject to planning applications.</w:t>
      </w:r>
    </w:p>
    <w:p w14:paraId="7DD7CE15" w14:textId="77777777" w:rsidR="002C2ED7" w:rsidRDefault="002C2ED7" w:rsidP="002C2ED7">
      <w:pPr>
        <w:pStyle w:val="DPDIntro"/>
        <w:widowControl w:val="0"/>
        <w:spacing w:after="0"/>
        <w:rPr>
          <w:b w:val="0"/>
        </w:rPr>
      </w:pPr>
    </w:p>
    <w:p w14:paraId="74F9B6F1" w14:textId="196B0EC9" w:rsidR="002C2ED7" w:rsidRDefault="00B2624F" w:rsidP="008A3134">
      <w:pPr>
        <w:pStyle w:val="DPDIntro"/>
        <w:widowControl w:val="0"/>
        <w:numPr>
          <w:ilvl w:val="0"/>
          <w:numId w:val="36"/>
        </w:numPr>
        <w:spacing w:after="0"/>
        <w:rPr>
          <w:b w:val="0"/>
        </w:rPr>
      </w:pPr>
      <w:r w:rsidRPr="002C2ED7">
        <w:rPr>
          <w:b w:val="0"/>
        </w:rPr>
        <w:t>Some challenge the finance cost assumption and say that</w:t>
      </w:r>
      <w:r w:rsidR="00BC100A">
        <w:rPr>
          <w:b w:val="0"/>
        </w:rPr>
        <w:t>,</w:t>
      </w:r>
      <w:r w:rsidRPr="002C2ED7">
        <w:rPr>
          <w:b w:val="0"/>
        </w:rPr>
        <w:t xml:space="preserve"> in the current market</w:t>
      </w:r>
      <w:r w:rsidR="00BC100A">
        <w:rPr>
          <w:b w:val="0"/>
        </w:rPr>
        <w:t>,</w:t>
      </w:r>
      <w:r w:rsidRPr="002C2ED7">
        <w:rPr>
          <w:b w:val="0"/>
        </w:rPr>
        <w:t xml:space="preserve"> the figure should be between 8 and 10%.  I accept BNP Paribas’s point that small developers, particularly residential developers, may </w:t>
      </w:r>
      <w:r w:rsidR="001F7FF2" w:rsidRPr="002C2ED7">
        <w:rPr>
          <w:b w:val="0"/>
        </w:rPr>
        <w:t xml:space="preserve">sometimes </w:t>
      </w:r>
      <w:r w:rsidRPr="002C2ED7">
        <w:rPr>
          <w:b w:val="0"/>
        </w:rPr>
        <w:t xml:space="preserve">have to pay 8% or more but that developers who are likely to build </w:t>
      </w:r>
      <w:r w:rsidR="001F7FF2" w:rsidRPr="002C2ED7">
        <w:rPr>
          <w:b w:val="0"/>
        </w:rPr>
        <w:t xml:space="preserve">substantial </w:t>
      </w:r>
      <w:r w:rsidRPr="002C2ED7">
        <w:rPr>
          <w:b w:val="0"/>
        </w:rPr>
        <w:t>office/R&amp;D schemes can usually obtain finance at or close to a long</w:t>
      </w:r>
      <w:r w:rsidR="00FC629F" w:rsidRPr="002C2ED7">
        <w:rPr>
          <w:b w:val="0"/>
        </w:rPr>
        <w:t>-</w:t>
      </w:r>
      <w:r w:rsidRPr="002C2ED7">
        <w:rPr>
          <w:b w:val="0"/>
        </w:rPr>
        <w:t>term figure of 6.5%</w:t>
      </w:r>
      <w:r w:rsidR="001F7FF2" w:rsidRPr="002C2ED7">
        <w:rPr>
          <w:b w:val="0"/>
        </w:rPr>
        <w:t>.</w:t>
      </w:r>
      <w:r w:rsidRPr="002C2ED7">
        <w:rPr>
          <w:b w:val="0"/>
        </w:rPr>
        <w:t xml:space="preserve"> </w:t>
      </w:r>
    </w:p>
    <w:p w14:paraId="462CB713" w14:textId="77777777" w:rsidR="008A3134" w:rsidRPr="008A3134" w:rsidRDefault="008A3134" w:rsidP="008A3134">
      <w:pPr>
        <w:pStyle w:val="DPDIntro"/>
        <w:widowControl w:val="0"/>
        <w:spacing w:after="0"/>
        <w:rPr>
          <w:b w:val="0"/>
        </w:rPr>
      </w:pPr>
    </w:p>
    <w:p w14:paraId="4198257D" w14:textId="401F86EB" w:rsidR="002C2ED7" w:rsidRDefault="004F0820" w:rsidP="002C2ED7">
      <w:pPr>
        <w:pStyle w:val="DPDIntro"/>
        <w:widowControl w:val="0"/>
        <w:numPr>
          <w:ilvl w:val="0"/>
          <w:numId w:val="36"/>
        </w:numPr>
        <w:spacing w:after="0"/>
        <w:rPr>
          <w:b w:val="0"/>
        </w:rPr>
      </w:pPr>
      <w:r w:rsidRPr="002C2ED7">
        <w:rPr>
          <w:b w:val="0"/>
        </w:rPr>
        <w:t>Regarding build costs</w:t>
      </w:r>
      <w:r w:rsidR="005D7834" w:rsidRPr="002C2ED7">
        <w:rPr>
          <w:b w:val="0"/>
        </w:rPr>
        <w:t>,</w:t>
      </w:r>
      <w:r w:rsidRPr="002C2ED7">
        <w:rPr>
          <w:b w:val="0"/>
        </w:rPr>
        <w:t xml:space="preserve"> BNP Paribas use higher quartile BCIS figures.  The use of this source of information is common in viability work and in line with </w:t>
      </w:r>
      <w:r w:rsidR="00BC100A">
        <w:rPr>
          <w:b w:val="0"/>
        </w:rPr>
        <w:t xml:space="preserve">the advice in the </w:t>
      </w:r>
      <w:r w:rsidRPr="002C2ED7">
        <w:rPr>
          <w:b w:val="0"/>
        </w:rPr>
        <w:t>PPG.  In viability work</w:t>
      </w:r>
      <w:r w:rsidR="00BC100A">
        <w:rPr>
          <w:b w:val="0"/>
        </w:rPr>
        <w:t>,</w:t>
      </w:r>
      <w:r w:rsidRPr="002C2ED7">
        <w:rPr>
          <w:b w:val="0"/>
        </w:rPr>
        <w:t xml:space="preserve"> it is not unusual to see lower quartile figures used on the grounds that larger developments can achieve economies of scale.  Using higher quartile figures reflects the expected quality of office/R&amp;D proposals in Oxford.</w:t>
      </w:r>
      <w:r w:rsidR="00DE3012" w:rsidRPr="002C2ED7">
        <w:rPr>
          <w:b w:val="0"/>
        </w:rPr>
        <w:t xml:space="preserve">  There is a challenge </w:t>
      </w:r>
      <w:r w:rsidR="000E5F03" w:rsidRPr="002C2ED7">
        <w:rPr>
          <w:b w:val="0"/>
        </w:rPr>
        <w:t xml:space="preserve">by Savills </w:t>
      </w:r>
      <w:r w:rsidR="00DE3012" w:rsidRPr="002C2ED7">
        <w:rPr>
          <w:b w:val="0"/>
        </w:rPr>
        <w:t>to the build cost figures on the basis of a laboratory/life sciences development that had a build cost, at £427</w:t>
      </w:r>
      <w:r w:rsidR="00BC100A">
        <w:rPr>
          <w:b w:val="0"/>
        </w:rPr>
        <w:t xml:space="preserve"> per </w:t>
      </w:r>
      <w:proofErr w:type="spellStart"/>
      <w:r w:rsidR="00BC100A">
        <w:rPr>
          <w:b w:val="0"/>
        </w:rPr>
        <w:t>sq.ft</w:t>
      </w:r>
      <w:proofErr w:type="spellEnd"/>
      <w:r w:rsidR="00BC100A">
        <w:rPr>
          <w:b w:val="0"/>
        </w:rPr>
        <w:t>.</w:t>
      </w:r>
      <w:r w:rsidR="00DE3012" w:rsidRPr="002C2ED7">
        <w:rPr>
          <w:b w:val="0"/>
        </w:rPr>
        <w:t xml:space="preserve">, </w:t>
      </w:r>
      <w:r w:rsidR="00C70FC2" w:rsidRPr="002C2ED7">
        <w:rPr>
          <w:b w:val="0"/>
        </w:rPr>
        <w:t xml:space="preserve">which is </w:t>
      </w:r>
      <w:r w:rsidR="00DE3012" w:rsidRPr="002C2ED7">
        <w:rPr>
          <w:b w:val="0"/>
        </w:rPr>
        <w:t xml:space="preserve">much higher than the BCIS figure.  </w:t>
      </w:r>
      <w:r w:rsidR="00B35C60" w:rsidRPr="002C2ED7">
        <w:rPr>
          <w:b w:val="0"/>
        </w:rPr>
        <w:t xml:space="preserve">This argument is countered by BNP Paribas who point out that a 2024 Carter Jonas “Life Sciences Research Report” quotes rental levels of over £100 per </w:t>
      </w:r>
      <w:proofErr w:type="spellStart"/>
      <w:r w:rsidR="00B35C60" w:rsidRPr="002C2ED7">
        <w:rPr>
          <w:b w:val="0"/>
        </w:rPr>
        <w:t>sq</w:t>
      </w:r>
      <w:r w:rsidR="00920B71" w:rsidRPr="002C2ED7">
        <w:rPr>
          <w:b w:val="0"/>
        </w:rPr>
        <w:t>.</w:t>
      </w:r>
      <w:r w:rsidR="000E5F03" w:rsidRPr="002C2ED7">
        <w:rPr>
          <w:b w:val="0"/>
        </w:rPr>
        <w:t>ft</w:t>
      </w:r>
      <w:proofErr w:type="spellEnd"/>
      <w:r w:rsidR="00B35C60" w:rsidRPr="002C2ED7">
        <w:rPr>
          <w:b w:val="0"/>
        </w:rPr>
        <w:t xml:space="preserve"> whereas the BNP Paribas work is based on </w:t>
      </w:r>
      <w:r w:rsidR="00C70FC2" w:rsidRPr="002C2ED7">
        <w:rPr>
          <w:b w:val="0"/>
        </w:rPr>
        <w:t xml:space="preserve">a cautious </w:t>
      </w:r>
      <w:r w:rsidR="00B35C60" w:rsidRPr="002C2ED7">
        <w:rPr>
          <w:b w:val="0"/>
        </w:rPr>
        <w:t>£50 - £55</w:t>
      </w:r>
      <w:r w:rsidR="00920B71" w:rsidRPr="002C2ED7">
        <w:rPr>
          <w:b w:val="0"/>
        </w:rPr>
        <w:t xml:space="preserve"> per </w:t>
      </w:r>
      <w:proofErr w:type="spellStart"/>
      <w:r w:rsidR="00920B71" w:rsidRPr="002C2ED7">
        <w:rPr>
          <w:b w:val="0"/>
        </w:rPr>
        <w:t>sq.ft</w:t>
      </w:r>
      <w:proofErr w:type="spellEnd"/>
      <w:r w:rsidR="00B35C60" w:rsidRPr="002C2ED7">
        <w:rPr>
          <w:b w:val="0"/>
        </w:rPr>
        <w:t xml:space="preserve">.  BNP Paribas have re-run their appraisals for seven of the schemes tested using </w:t>
      </w:r>
      <w:r w:rsidR="000E5F03" w:rsidRPr="002C2ED7">
        <w:rPr>
          <w:b w:val="0"/>
        </w:rPr>
        <w:t>Savills Lab-enable Space costs of £427 with rents at £78.50 per square foot</w:t>
      </w:r>
      <w:r w:rsidR="00B35C60" w:rsidRPr="002C2ED7">
        <w:rPr>
          <w:b w:val="0"/>
        </w:rPr>
        <w:t xml:space="preserve"> </w:t>
      </w:r>
      <w:r w:rsidR="000E5F03" w:rsidRPr="002C2ED7">
        <w:rPr>
          <w:b w:val="0"/>
        </w:rPr>
        <w:t>and a yield of 4.7</w:t>
      </w:r>
      <w:r w:rsidR="008E61F6">
        <w:rPr>
          <w:b w:val="0"/>
        </w:rPr>
        <w:t>5</w:t>
      </w:r>
      <w:r w:rsidR="000E5F03" w:rsidRPr="002C2ED7">
        <w:rPr>
          <w:b w:val="0"/>
        </w:rPr>
        <w:t xml:space="preserve">%.  The yield figure is based on </w:t>
      </w:r>
      <w:proofErr w:type="spellStart"/>
      <w:r w:rsidR="000E5F03" w:rsidRPr="002C2ED7">
        <w:rPr>
          <w:b w:val="0"/>
        </w:rPr>
        <w:t>Bidwells</w:t>
      </w:r>
      <w:proofErr w:type="spellEnd"/>
      <w:r w:rsidR="000E5F03" w:rsidRPr="002C2ED7">
        <w:rPr>
          <w:b w:val="0"/>
        </w:rPr>
        <w:t xml:space="preserve"> </w:t>
      </w:r>
      <w:proofErr w:type="spellStart"/>
      <w:r w:rsidR="000E5F03" w:rsidRPr="002C2ED7">
        <w:rPr>
          <w:b w:val="0"/>
        </w:rPr>
        <w:t>Databook</w:t>
      </w:r>
      <w:proofErr w:type="spellEnd"/>
      <w:r w:rsidR="000E5F03" w:rsidRPr="002C2ED7">
        <w:rPr>
          <w:b w:val="0"/>
        </w:rPr>
        <w:t xml:space="preserve"> – Oxford Offices and Labs February 2025. </w:t>
      </w:r>
      <w:r w:rsidR="00B35C60" w:rsidRPr="002C2ED7">
        <w:rPr>
          <w:b w:val="0"/>
        </w:rPr>
        <w:t xml:space="preserve"> The results show </w:t>
      </w:r>
      <w:r w:rsidR="000E5F03" w:rsidRPr="002C2ED7">
        <w:rPr>
          <w:b w:val="0"/>
        </w:rPr>
        <w:t>that the proposed CIL rate would amount to less than 10% of the identified CIL headroom</w:t>
      </w:r>
      <w:r w:rsidR="00B35C60" w:rsidRPr="002C2ED7">
        <w:rPr>
          <w:b w:val="0"/>
        </w:rPr>
        <w:t xml:space="preserve"> </w:t>
      </w:r>
      <w:r w:rsidR="000E5F03" w:rsidRPr="002C2ED7">
        <w:rPr>
          <w:b w:val="0"/>
        </w:rPr>
        <w:t xml:space="preserve">in the worst case.  BNP Paribas </w:t>
      </w:r>
      <w:r w:rsidR="0081411A" w:rsidRPr="002C2ED7">
        <w:rPr>
          <w:b w:val="0"/>
        </w:rPr>
        <w:t>dispute</w:t>
      </w:r>
      <w:r w:rsidR="000E5F03" w:rsidRPr="002C2ED7">
        <w:rPr>
          <w:b w:val="0"/>
        </w:rPr>
        <w:t xml:space="preserve"> several of the assumptions used by Savills</w:t>
      </w:r>
      <w:r w:rsidR="00BC100A">
        <w:rPr>
          <w:b w:val="0"/>
        </w:rPr>
        <w:t>,</w:t>
      </w:r>
      <w:r w:rsidR="000E5F03" w:rsidRPr="002C2ED7">
        <w:rPr>
          <w:b w:val="0"/>
        </w:rPr>
        <w:t xml:space="preserve"> in particular sustainability costs and the lettable area figures.</w:t>
      </w:r>
      <w:r w:rsidR="0081411A" w:rsidRPr="002C2ED7">
        <w:rPr>
          <w:b w:val="0"/>
        </w:rPr>
        <w:t xml:space="preserve">  As BNP Paribas point out</w:t>
      </w:r>
      <w:r w:rsidR="00920B71" w:rsidRPr="002C2ED7">
        <w:rPr>
          <w:b w:val="0"/>
        </w:rPr>
        <w:t>,</w:t>
      </w:r>
      <w:r w:rsidR="0081411A" w:rsidRPr="002C2ED7">
        <w:rPr>
          <w:b w:val="0"/>
        </w:rPr>
        <w:t xml:space="preserve"> even if Savills</w:t>
      </w:r>
      <w:r w:rsidR="00BC100A">
        <w:rPr>
          <w:b w:val="0"/>
        </w:rPr>
        <w:t>’</w:t>
      </w:r>
      <w:r w:rsidR="0081411A" w:rsidRPr="002C2ED7">
        <w:rPr>
          <w:b w:val="0"/>
        </w:rPr>
        <w:t xml:space="preserve"> assumptions are accepted</w:t>
      </w:r>
      <w:r w:rsidR="00BC100A">
        <w:rPr>
          <w:b w:val="0"/>
        </w:rPr>
        <w:t>,</w:t>
      </w:r>
      <w:r w:rsidR="0081411A" w:rsidRPr="002C2ED7">
        <w:rPr>
          <w:b w:val="0"/>
        </w:rPr>
        <w:t xml:space="preserve"> in six out of seven cases the surpluses generated far exceed </w:t>
      </w:r>
      <w:r w:rsidR="00920B71" w:rsidRPr="002C2ED7">
        <w:rPr>
          <w:b w:val="0"/>
        </w:rPr>
        <w:t xml:space="preserve">the </w:t>
      </w:r>
      <w:r w:rsidR="0081411A" w:rsidRPr="002C2ED7">
        <w:rPr>
          <w:b w:val="0"/>
        </w:rPr>
        <w:t xml:space="preserve">proposed CIL rate.  </w:t>
      </w:r>
      <w:r w:rsidR="000E5F03" w:rsidRPr="002C2ED7">
        <w:rPr>
          <w:b w:val="0"/>
        </w:rPr>
        <w:t xml:space="preserve"> </w:t>
      </w:r>
    </w:p>
    <w:p w14:paraId="06CAC883" w14:textId="2AEC2D72" w:rsidR="00D07F12" w:rsidRPr="002C2ED7" w:rsidRDefault="000E5F03" w:rsidP="002C2ED7">
      <w:pPr>
        <w:pStyle w:val="DPDIntro"/>
        <w:widowControl w:val="0"/>
        <w:spacing w:after="0"/>
        <w:ind w:left="393"/>
        <w:rPr>
          <w:b w:val="0"/>
        </w:rPr>
      </w:pPr>
      <w:r w:rsidRPr="002C2ED7">
        <w:rPr>
          <w:b w:val="0"/>
        </w:rPr>
        <w:t xml:space="preserve"> </w:t>
      </w:r>
    </w:p>
    <w:p w14:paraId="2E3523C7" w14:textId="6C04C985" w:rsidR="0081411A" w:rsidRDefault="00D9701A" w:rsidP="002C2ED7">
      <w:pPr>
        <w:pStyle w:val="DPDIntro"/>
        <w:widowControl w:val="0"/>
        <w:numPr>
          <w:ilvl w:val="0"/>
          <w:numId w:val="36"/>
        </w:numPr>
        <w:spacing w:after="0"/>
        <w:rPr>
          <w:b w:val="0"/>
        </w:rPr>
      </w:pPr>
      <w:r>
        <w:rPr>
          <w:b w:val="0"/>
        </w:rPr>
        <w:t>In relation to the increase in the rate</w:t>
      </w:r>
      <w:r w:rsidR="00920B71">
        <w:rPr>
          <w:b w:val="0"/>
        </w:rPr>
        <w:t>,</w:t>
      </w:r>
      <w:r>
        <w:rPr>
          <w:b w:val="0"/>
        </w:rPr>
        <w:t xml:space="preserve"> the argument advanced is that the 500% increase represents too great a jump and is therefore a threat to the delivery of the Council’s policies</w:t>
      </w:r>
      <w:r w:rsidR="00920B71">
        <w:rPr>
          <w:b w:val="0"/>
        </w:rPr>
        <w:t xml:space="preserve">. </w:t>
      </w:r>
      <w:r>
        <w:rPr>
          <w:b w:val="0"/>
        </w:rPr>
        <w:t xml:space="preserve"> </w:t>
      </w:r>
      <w:r w:rsidR="006F4A59">
        <w:rPr>
          <w:b w:val="0"/>
        </w:rPr>
        <w:t xml:space="preserve">The fact that the proposed rate is significantly higher than the existing rate is not in itself a reason for rejecting the proposed CIL.  The critical considerations are current values and the viability of development at the present time. </w:t>
      </w:r>
    </w:p>
    <w:p w14:paraId="119C57A5" w14:textId="77777777" w:rsidR="002C2ED7" w:rsidRDefault="002C2ED7" w:rsidP="002C2ED7">
      <w:pPr>
        <w:pStyle w:val="DPDIntro"/>
        <w:widowControl w:val="0"/>
        <w:spacing w:after="0"/>
        <w:rPr>
          <w:b w:val="0"/>
        </w:rPr>
      </w:pPr>
    </w:p>
    <w:p w14:paraId="32057B5E" w14:textId="77F6BAF9" w:rsidR="00382075" w:rsidRDefault="00F51A72" w:rsidP="002C2ED7">
      <w:pPr>
        <w:pStyle w:val="DPDIntro"/>
        <w:widowControl w:val="0"/>
        <w:numPr>
          <w:ilvl w:val="0"/>
          <w:numId w:val="36"/>
        </w:numPr>
        <w:spacing w:after="0"/>
        <w:rPr>
          <w:b w:val="0"/>
        </w:rPr>
      </w:pPr>
      <w:r>
        <w:rPr>
          <w:b w:val="0"/>
        </w:rPr>
        <w:t xml:space="preserve">I do not believe that there is any convincing evidence that the proposed rate would threaten the delivery of office/R&amp;D development in the City.  Even based on conservative rent figures the </w:t>
      </w:r>
      <w:r w:rsidR="00BC100A">
        <w:rPr>
          <w:b w:val="0"/>
        </w:rPr>
        <w:t>BNP</w:t>
      </w:r>
      <w:r>
        <w:rPr>
          <w:b w:val="0"/>
        </w:rPr>
        <w:t xml:space="preserve"> Paribas evidence shows that the </w:t>
      </w:r>
      <w:r>
        <w:rPr>
          <w:b w:val="0"/>
        </w:rPr>
        <w:lastRenderedPageBreak/>
        <w:t xml:space="preserve">surplus available to fund CIL and the </w:t>
      </w:r>
      <w:proofErr w:type="spellStart"/>
      <w:r>
        <w:rPr>
          <w:b w:val="0"/>
        </w:rPr>
        <w:t>Cowley</w:t>
      </w:r>
      <w:proofErr w:type="spellEnd"/>
      <w:r>
        <w:rPr>
          <w:b w:val="0"/>
        </w:rPr>
        <w:t xml:space="preserve"> Branch </w:t>
      </w:r>
      <w:r w:rsidR="00382075">
        <w:rPr>
          <w:b w:val="0"/>
        </w:rPr>
        <w:t>L</w:t>
      </w:r>
      <w:r>
        <w:rPr>
          <w:b w:val="0"/>
        </w:rPr>
        <w:t>ine</w:t>
      </w:r>
      <w:r w:rsidR="00382075">
        <w:rPr>
          <w:b w:val="0"/>
        </w:rPr>
        <w:t xml:space="preserve"> is very substantial.</w:t>
      </w:r>
      <w:r w:rsidR="0012400C">
        <w:rPr>
          <w:b w:val="0"/>
        </w:rPr>
        <w:t xml:space="preserve">  A very large viability buffer would be available at the proposed CIL rate.</w:t>
      </w:r>
      <w:r w:rsidR="00382075">
        <w:rPr>
          <w:b w:val="0"/>
        </w:rPr>
        <w:t xml:space="preserve">  </w:t>
      </w:r>
      <w:r w:rsidR="0012400C">
        <w:rPr>
          <w:b w:val="0"/>
        </w:rPr>
        <w:t xml:space="preserve">Furthermore </w:t>
      </w:r>
      <w:r w:rsidR="00382075">
        <w:rPr>
          <w:b w:val="0"/>
        </w:rPr>
        <w:t>Oxford operate an exceptional circumstances relief policy that can be used in circumstances where viability evidence provides a justification for not applying the standard CIL rate.</w:t>
      </w:r>
    </w:p>
    <w:p w14:paraId="2294262D" w14:textId="77777777" w:rsidR="00235481" w:rsidRDefault="00235481" w:rsidP="00235481">
      <w:pPr>
        <w:pStyle w:val="DPDIntro"/>
        <w:widowControl w:val="0"/>
        <w:spacing w:after="0"/>
        <w:rPr>
          <w:b w:val="0"/>
        </w:rPr>
      </w:pPr>
    </w:p>
    <w:p w14:paraId="43042FD6" w14:textId="6DD1F295" w:rsidR="00872099" w:rsidRPr="00872099" w:rsidRDefault="00F80DF4" w:rsidP="00872099">
      <w:pPr>
        <w:pStyle w:val="DPDIntro"/>
        <w:widowControl w:val="0"/>
        <w:numPr>
          <w:ilvl w:val="0"/>
          <w:numId w:val="36"/>
        </w:numPr>
        <w:spacing w:after="0"/>
        <w:rPr>
          <w:b w:val="0"/>
        </w:rPr>
      </w:pPr>
      <w:r>
        <w:rPr>
          <w:b w:val="0"/>
        </w:rPr>
        <w:t xml:space="preserve">The proposed CIL rate represents at most 2.6% of development costs and it is unreasonable to argue that this level of increase is likely to be a decisive </w:t>
      </w:r>
    </w:p>
    <w:p w14:paraId="0D7C3241" w14:textId="7FD8DF9D" w:rsidR="00F80DF4" w:rsidRPr="00872099" w:rsidRDefault="00F80DF4" w:rsidP="00872099">
      <w:pPr>
        <w:pStyle w:val="DPDIntro"/>
        <w:widowControl w:val="0"/>
        <w:spacing w:after="0"/>
        <w:ind w:left="393"/>
        <w:rPr>
          <w:b w:val="0"/>
        </w:rPr>
      </w:pPr>
      <w:proofErr w:type="gramStart"/>
      <w:r w:rsidRPr="00872099">
        <w:rPr>
          <w:b w:val="0"/>
        </w:rPr>
        <w:t>consideration</w:t>
      </w:r>
      <w:proofErr w:type="gramEnd"/>
      <w:r w:rsidRPr="00872099">
        <w:rPr>
          <w:b w:val="0"/>
        </w:rPr>
        <w:t xml:space="preserve"> in an area such as Oxford where the office/R&amp;D market is strong.</w:t>
      </w:r>
    </w:p>
    <w:p w14:paraId="00FF8B1D" w14:textId="77777777" w:rsidR="002C2ED7" w:rsidRDefault="002C2ED7" w:rsidP="002C2ED7">
      <w:pPr>
        <w:pStyle w:val="DPDIntro"/>
        <w:widowControl w:val="0"/>
        <w:spacing w:after="0"/>
        <w:rPr>
          <w:b w:val="0"/>
        </w:rPr>
      </w:pPr>
    </w:p>
    <w:p w14:paraId="25F0E53B" w14:textId="3EAFC25A" w:rsidR="00592791" w:rsidRDefault="00F80DF4" w:rsidP="002C2ED7">
      <w:pPr>
        <w:pStyle w:val="DPDIntro"/>
        <w:widowControl w:val="0"/>
        <w:numPr>
          <w:ilvl w:val="0"/>
          <w:numId w:val="36"/>
        </w:numPr>
        <w:spacing w:after="0"/>
        <w:rPr>
          <w:b w:val="0"/>
        </w:rPr>
      </w:pPr>
      <w:r>
        <w:rPr>
          <w:b w:val="0"/>
        </w:rPr>
        <w:t>There</w:t>
      </w:r>
      <w:r w:rsidR="00592791">
        <w:rPr>
          <w:b w:val="0"/>
        </w:rPr>
        <w:t xml:space="preserve"> are</w:t>
      </w:r>
      <w:r>
        <w:rPr>
          <w:b w:val="0"/>
        </w:rPr>
        <w:t xml:space="preserve"> representation</w:t>
      </w:r>
      <w:r w:rsidR="00592791">
        <w:rPr>
          <w:b w:val="0"/>
        </w:rPr>
        <w:t>s</w:t>
      </w:r>
      <w:r>
        <w:rPr>
          <w:b w:val="0"/>
        </w:rPr>
        <w:t xml:space="preserve"> that challenge the </w:t>
      </w:r>
      <w:r w:rsidR="00592791">
        <w:rPr>
          <w:b w:val="0"/>
        </w:rPr>
        <w:t>Charitable CIL relief.  Charitable relief is mandatory and not a matter for consideration in this report.</w:t>
      </w:r>
    </w:p>
    <w:p w14:paraId="709CA98B" w14:textId="77777777" w:rsidR="002C2ED7" w:rsidRDefault="002C2ED7" w:rsidP="002C2ED7">
      <w:pPr>
        <w:pStyle w:val="ListParagraph"/>
        <w:rPr>
          <w:b/>
        </w:rPr>
      </w:pPr>
    </w:p>
    <w:p w14:paraId="6A1B49E5" w14:textId="365FF9EE" w:rsidR="00C256BE" w:rsidRPr="002C2ED7" w:rsidRDefault="002C2ED7" w:rsidP="002C2ED7">
      <w:pPr>
        <w:pStyle w:val="DPDIntro"/>
        <w:widowControl w:val="0"/>
        <w:numPr>
          <w:ilvl w:val="0"/>
          <w:numId w:val="36"/>
        </w:numPr>
        <w:spacing w:after="0"/>
        <w:rPr>
          <w:rFonts w:eastAsia="Verdana" w:cs="Verdana"/>
          <w:szCs w:val="22"/>
        </w:rPr>
      </w:pPr>
      <w:r>
        <w:rPr>
          <w:b w:val="0"/>
        </w:rPr>
        <w:t>I</w:t>
      </w:r>
      <w:r w:rsidR="00761989" w:rsidRPr="00520373">
        <w:rPr>
          <w:b w:val="0"/>
        </w:rPr>
        <w:t>n setting the CIL charging rate the Council has had regard to detailed evidence</w:t>
      </w:r>
      <w:r w:rsidR="00761989" w:rsidRPr="000919F4">
        <w:rPr>
          <w:b w:val="0"/>
        </w:rPr>
        <w:t xml:space="preserve"> on infrastructure planning and the economic viability evidence of the </w:t>
      </w:r>
      <w:r w:rsidR="00761989">
        <w:rPr>
          <w:b w:val="0"/>
        </w:rPr>
        <w:t>development market in</w:t>
      </w:r>
      <w:r w:rsidR="00761989" w:rsidRPr="00592791">
        <w:rPr>
          <w:color w:val="0000FF"/>
        </w:rPr>
        <w:t xml:space="preserve"> </w:t>
      </w:r>
      <w:r w:rsidR="00592791" w:rsidRPr="00592791">
        <w:rPr>
          <w:b w:val="0"/>
          <w:bCs w:val="0"/>
        </w:rPr>
        <w:t>Oxford</w:t>
      </w:r>
      <w:r w:rsidR="00592791" w:rsidRPr="00592791">
        <w:t xml:space="preserve">.  </w:t>
      </w:r>
      <w:r w:rsidR="00761989">
        <w:rPr>
          <w:b w:val="0"/>
        </w:rPr>
        <w:t>T</w:t>
      </w:r>
      <w:r w:rsidR="00761989" w:rsidRPr="00C557D3">
        <w:rPr>
          <w:b w:val="0"/>
        </w:rPr>
        <w:t>he Council has</w:t>
      </w:r>
      <w:r w:rsidR="00592791" w:rsidRPr="00592791">
        <w:t xml:space="preserve"> </w:t>
      </w:r>
      <w:r w:rsidR="00592791" w:rsidRPr="00592791">
        <w:rPr>
          <w:b w:val="0"/>
          <w:bCs w:val="0"/>
        </w:rPr>
        <w:t>set a commendable</w:t>
      </w:r>
      <w:r w:rsidR="00592791" w:rsidRPr="00592791">
        <w:t xml:space="preserve"> </w:t>
      </w:r>
      <w:r w:rsidR="00592791" w:rsidRPr="00592791">
        <w:rPr>
          <w:b w:val="0"/>
          <w:bCs w:val="0"/>
        </w:rPr>
        <w:t>simple rate that is</w:t>
      </w:r>
      <w:r w:rsidR="00592791" w:rsidRPr="00592791">
        <w:t xml:space="preserve"> </w:t>
      </w:r>
      <w:r w:rsidR="00761989">
        <w:rPr>
          <w:b w:val="0"/>
        </w:rPr>
        <w:t xml:space="preserve">realistic in terms of achieving a reasonable level of income to address an acknowledged gap in infrastructure funding, while ensuring that </w:t>
      </w:r>
      <w:r w:rsidR="00592791" w:rsidRPr="00592791">
        <w:rPr>
          <w:b w:val="0"/>
          <w:bCs w:val="0"/>
        </w:rPr>
        <w:t>office/R&amp;D development</w:t>
      </w:r>
      <w:r w:rsidR="00592791" w:rsidRPr="00592791">
        <w:t xml:space="preserve"> </w:t>
      </w:r>
      <w:r w:rsidR="00761989">
        <w:rPr>
          <w:b w:val="0"/>
        </w:rPr>
        <w:t xml:space="preserve">remains viable across the </w:t>
      </w:r>
      <w:r w:rsidR="00592791" w:rsidRPr="00592791">
        <w:rPr>
          <w:b w:val="0"/>
          <w:bCs w:val="0"/>
        </w:rPr>
        <w:t>City</w:t>
      </w:r>
      <w:r w:rsidR="00761989" w:rsidRPr="00592791">
        <w:rPr>
          <w:b w:val="0"/>
          <w:bCs w:val="0"/>
        </w:rPr>
        <w:t>.</w:t>
      </w:r>
      <w:r w:rsidR="00761989">
        <w:rPr>
          <w:b w:val="0"/>
        </w:rPr>
        <w:t xml:space="preserve"> </w:t>
      </w:r>
    </w:p>
    <w:p w14:paraId="021B352D" w14:textId="77777777" w:rsidR="002C2ED7" w:rsidRPr="00592791" w:rsidRDefault="002C2ED7" w:rsidP="002C2ED7">
      <w:pPr>
        <w:pStyle w:val="DPDIntro"/>
        <w:widowControl w:val="0"/>
        <w:spacing w:after="0"/>
        <w:rPr>
          <w:rFonts w:eastAsia="Verdana" w:cs="Verdana"/>
          <w:szCs w:val="22"/>
        </w:rPr>
      </w:pPr>
    </w:p>
    <w:p w14:paraId="3F3542CB" w14:textId="2CFCA361" w:rsidR="005410D3" w:rsidRPr="002C2ED7" w:rsidRDefault="005410D3" w:rsidP="002C2ED7">
      <w:pPr>
        <w:pStyle w:val="Default"/>
        <w:numPr>
          <w:ilvl w:val="0"/>
          <w:numId w:val="36"/>
        </w:numPr>
        <w:pBdr>
          <w:top w:val="nil"/>
          <w:left w:val="nil"/>
          <w:bottom w:val="nil"/>
          <w:right w:val="nil"/>
          <w:between w:val="nil"/>
          <w:bar w:val="nil"/>
        </w:pBdr>
        <w:autoSpaceDE/>
        <w:autoSpaceDN/>
        <w:adjustRightInd/>
        <w:spacing w:after="120"/>
        <w:rPr>
          <w:rFonts w:ascii="Verdana" w:eastAsia="Verdana" w:hAnsi="Verdana" w:cs="Verdana"/>
          <w:color w:val="auto"/>
          <w:sz w:val="22"/>
          <w:szCs w:val="22"/>
        </w:rPr>
      </w:pPr>
      <w:r w:rsidRPr="002C2ED7">
        <w:rPr>
          <w:rFonts w:ascii="Verdana" w:hAnsi="Verdana"/>
          <w:color w:val="auto"/>
          <w:sz w:val="22"/>
          <w:szCs w:val="22"/>
          <w:lang w:val="en-US"/>
        </w:rPr>
        <w:t xml:space="preserve">I consider the viability assessment to be robust and conclude that the rate proposed would not </w:t>
      </w:r>
      <w:r w:rsidR="00E126E4" w:rsidRPr="002C2ED7">
        <w:rPr>
          <w:rFonts w:ascii="Verdana" w:hAnsi="Verdana" w:cs="Helvetica"/>
          <w:color w:val="auto"/>
          <w:sz w:val="22"/>
          <w:szCs w:val="22"/>
        </w:rPr>
        <w:t xml:space="preserve">threaten delivery of </w:t>
      </w:r>
      <w:r w:rsidR="00F51A72" w:rsidRPr="002C2ED7">
        <w:rPr>
          <w:rFonts w:ascii="Verdana" w:hAnsi="Verdana" w:cs="Helvetica"/>
          <w:color w:val="auto"/>
          <w:sz w:val="22"/>
          <w:szCs w:val="22"/>
        </w:rPr>
        <w:t>office/R&amp;D development in Oxford</w:t>
      </w:r>
      <w:r w:rsidR="00E126E4" w:rsidRPr="002C2ED7">
        <w:rPr>
          <w:rFonts w:ascii="Verdana" w:hAnsi="Verdana" w:cs="Helvetica"/>
          <w:color w:val="auto"/>
          <w:sz w:val="22"/>
          <w:szCs w:val="22"/>
        </w:rPr>
        <w:t>.</w:t>
      </w:r>
      <w:r w:rsidR="00E126E4" w:rsidRPr="002C2ED7">
        <w:rPr>
          <w:rFonts w:ascii="Verdana" w:hAnsi="Verdana"/>
          <w:color w:val="auto"/>
          <w:sz w:val="22"/>
          <w:szCs w:val="22"/>
          <w:lang w:val="en-US"/>
        </w:rPr>
        <w:t xml:space="preserve"> </w:t>
      </w:r>
      <w:r w:rsidRPr="002C2ED7">
        <w:rPr>
          <w:rFonts w:ascii="Verdana" w:hAnsi="Verdana"/>
          <w:color w:val="auto"/>
          <w:sz w:val="22"/>
          <w:szCs w:val="22"/>
          <w:lang w:val="en-US"/>
        </w:rPr>
        <w:t xml:space="preserve">The proposed rates are </w:t>
      </w:r>
      <w:r w:rsidR="008A3134" w:rsidRPr="002C2ED7">
        <w:rPr>
          <w:rFonts w:ascii="Verdana" w:hAnsi="Verdana"/>
          <w:color w:val="auto"/>
          <w:sz w:val="22"/>
          <w:szCs w:val="22"/>
          <w:lang w:val="en-US"/>
        </w:rPr>
        <w:t>justified,</w:t>
      </w:r>
      <w:r w:rsidRPr="002C2ED7">
        <w:rPr>
          <w:rFonts w:ascii="Verdana" w:hAnsi="Verdana"/>
          <w:color w:val="auto"/>
          <w:sz w:val="22"/>
          <w:szCs w:val="22"/>
          <w:lang w:val="en-US"/>
        </w:rPr>
        <w:t xml:space="preserve"> therefore.</w:t>
      </w:r>
    </w:p>
    <w:p w14:paraId="2536CA2A" w14:textId="77777777" w:rsidR="005410D3" w:rsidRPr="00AC3ABB" w:rsidRDefault="005410D3" w:rsidP="005410D3">
      <w:pPr>
        <w:pStyle w:val="Default"/>
        <w:rPr>
          <w:rFonts w:ascii="Verdana" w:eastAsia="Verdana" w:hAnsi="Verdana" w:cs="Verdana"/>
          <w:color w:val="auto"/>
          <w:sz w:val="22"/>
          <w:szCs w:val="22"/>
        </w:rPr>
      </w:pPr>
    </w:p>
    <w:p w14:paraId="41F665C1" w14:textId="77777777" w:rsidR="005410D3" w:rsidRPr="00AC3ABB" w:rsidRDefault="005410D3" w:rsidP="008A3134">
      <w:pPr>
        <w:pStyle w:val="Heading2"/>
        <w:rPr>
          <w:rFonts w:eastAsia="Verdana" w:cs="Verdana"/>
        </w:rPr>
      </w:pPr>
      <w:bookmarkStart w:id="10" w:name="_Toc196226494"/>
      <w:r w:rsidRPr="00AC3ABB">
        <w:rPr>
          <w:lang w:val="en-US"/>
        </w:rPr>
        <w:t>Overall Conclusion</w:t>
      </w:r>
      <w:bookmarkEnd w:id="10"/>
    </w:p>
    <w:p w14:paraId="24AA754E" w14:textId="77777777" w:rsidR="005410D3" w:rsidRPr="00AC3ABB" w:rsidRDefault="005410D3" w:rsidP="005410D3">
      <w:pPr>
        <w:pStyle w:val="Default"/>
        <w:rPr>
          <w:rFonts w:ascii="Verdana" w:eastAsia="Verdana" w:hAnsi="Verdana" w:cs="Verdana"/>
          <w:sz w:val="22"/>
          <w:szCs w:val="22"/>
        </w:rPr>
      </w:pPr>
    </w:p>
    <w:p w14:paraId="3A630329" w14:textId="4106F372" w:rsidR="005410D3" w:rsidRPr="00AC3ABB" w:rsidRDefault="005410D3" w:rsidP="005410D3">
      <w:pPr>
        <w:pStyle w:val="Default"/>
        <w:numPr>
          <w:ilvl w:val="0"/>
          <w:numId w:val="36"/>
        </w:numPr>
        <w:pBdr>
          <w:top w:val="nil"/>
          <w:left w:val="nil"/>
          <w:bottom w:val="nil"/>
          <w:right w:val="nil"/>
          <w:between w:val="nil"/>
          <w:bar w:val="nil"/>
        </w:pBdr>
        <w:autoSpaceDE/>
        <w:autoSpaceDN/>
        <w:adjustRightInd/>
        <w:rPr>
          <w:rFonts w:ascii="Verdana" w:eastAsia="Verdana" w:hAnsi="Verdana" w:cs="Verdana"/>
          <w:sz w:val="22"/>
          <w:szCs w:val="22"/>
        </w:rPr>
      </w:pPr>
      <w:r w:rsidRPr="00AC3ABB">
        <w:rPr>
          <w:rFonts w:ascii="Verdana" w:hAnsi="Verdana"/>
          <w:sz w:val="22"/>
          <w:szCs w:val="22"/>
          <w:lang w:val="en-US"/>
        </w:rPr>
        <w:t xml:space="preserve">I conclude that the </w:t>
      </w:r>
      <w:r w:rsidR="00592791">
        <w:rPr>
          <w:rFonts w:ascii="Verdana" w:hAnsi="Verdana"/>
          <w:sz w:val="22"/>
          <w:szCs w:val="22"/>
          <w:lang w:val="en-US"/>
        </w:rPr>
        <w:t xml:space="preserve">partial review of the </w:t>
      </w:r>
      <w:r w:rsidR="00CD537B">
        <w:rPr>
          <w:rFonts w:ascii="Verdana" w:hAnsi="Verdana"/>
          <w:sz w:val="22"/>
          <w:szCs w:val="22"/>
          <w:lang w:val="en-US"/>
        </w:rPr>
        <w:t xml:space="preserve">draft </w:t>
      </w:r>
      <w:r w:rsidR="009D516D">
        <w:rPr>
          <w:rFonts w:ascii="Verdana" w:hAnsi="Verdana"/>
          <w:sz w:val="22"/>
          <w:szCs w:val="22"/>
          <w:lang w:val="en-US"/>
        </w:rPr>
        <w:t xml:space="preserve">Oxford City </w:t>
      </w:r>
      <w:r w:rsidRPr="00AC3ABB">
        <w:rPr>
          <w:rFonts w:ascii="Verdana" w:hAnsi="Verdana"/>
          <w:sz w:val="22"/>
          <w:szCs w:val="22"/>
          <w:lang w:val="en-US"/>
        </w:rPr>
        <w:t xml:space="preserve">Community Infrastructure </w:t>
      </w:r>
      <w:r w:rsidR="006B7B61" w:rsidRPr="00AC3ABB">
        <w:rPr>
          <w:rFonts w:ascii="Verdana" w:hAnsi="Verdana"/>
          <w:sz w:val="22"/>
          <w:szCs w:val="22"/>
          <w:lang w:val="en-US"/>
        </w:rPr>
        <w:t>Levy Charging</w:t>
      </w:r>
      <w:r w:rsidRPr="00AC3ABB">
        <w:rPr>
          <w:rFonts w:ascii="Verdana" w:hAnsi="Verdana"/>
          <w:sz w:val="22"/>
          <w:szCs w:val="22"/>
          <w:lang w:val="en-US"/>
        </w:rPr>
        <w:t xml:space="preserve"> Schedule</w:t>
      </w:r>
      <w:r w:rsidR="00631EB3">
        <w:rPr>
          <w:rFonts w:ascii="Verdana" w:hAnsi="Verdana"/>
          <w:sz w:val="22"/>
          <w:szCs w:val="22"/>
          <w:lang w:val="en-US"/>
        </w:rPr>
        <w:t xml:space="preserve">, </w:t>
      </w:r>
      <w:r w:rsidR="009D516D">
        <w:rPr>
          <w:rFonts w:ascii="Verdana" w:hAnsi="Verdana"/>
          <w:sz w:val="22"/>
          <w:szCs w:val="22"/>
          <w:lang w:val="en-US"/>
        </w:rPr>
        <w:t xml:space="preserve">satisfies </w:t>
      </w:r>
      <w:r w:rsidRPr="00AC3ABB">
        <w:rPr>
          <w:rFonts w:ascii="Verdana" w:hAnsi="Verdana"/>
          <w:sz w:val="22"/>
          <w:szCs w:val="22"/>
          <w:lang w:val="en-US"/>
        </w:rPr>
        <w:t xml:space="preserve">the </w:t>
      </w:r>
      <w:r w:rsidR="002943C3" w:rsidRPr="00AC3ABB">
        <w:rPr>
          <w:rFonts w:ascii="Verdana" w:hAnsi="Verdana"/>
          <w:sz w:val="22"/>
          <w:szCs w:val="22"/>
          <w:lang w:val="en-US"/>
        </w:rPr>
        <w:t xml:space="preserve">drafting </w:t>
      </w:r>
      <w:r w:rsidR="00FA06A0" w:rsidRPr="00AC3ABB">
        <w:rPr>
          <w:rFonts w:ascii="Verdana" w:hAnsi="Verdana"/>
          <w:sz w:val="22"/>
          <w:szCs w:val="22"/>
          <w:lang w:val="en-US"/>
        </w:rPr>
        <w:t>requirements and</w:t>
      </w:r>
      <w:r w:rsidR="002943C3" w:rsidRPr="00AC3ABB">
        <w:rPr>
          <w:rFonts w:ascii="Verdana" w:hAnsi="Verdana"/>
          <w:sz w:val="22"/>
          <w:szCs w:val="22"/>
          <w:lang w:val="en-US"/>
        </w:rPr>
        <w:t xml:space="preserve"> </w:t>
      </w:r>
      <w:r w:rsidRPr="00AC3ABB">
        <w:rPr>
          <w:rFonts w:ascii="Verdana" w:hAnsi="Verdana"/>
          <w:sz w:val="22"/>
          <w:szCs w:val="22"/>
          <w:lang w:val="en-US"/>
        </w:rPr>
        <w:t xml:space="preserve">I therefore recommend that the </w:t>
      </w:r>
      <w:r w:rsidR="00CD537B">
        <w:rPr>
          <w:rFonts w:ascii="Verdana" w:hAnsi="Verdana"/>
          <w:sz w:val="22"/>
          <w:szCs w:val="22"/>
          <w:lang w:val="en-US"/>
        </w:rPr>
        <w:t>d</w:t>
      </w:r>
      <w:r w:rsidRPr="00AC3ABB">
        <w:rPr>
          <w:rFonts w:ascii="Verdana" w:hAnsi="Verdana"/>
          <w:sz w:val="22"/>
          <w:szCs w:val="22"/>
          <w:lang w:val="en-US"/>
        </w:rPr>
        <w:t>raft Charging Schedule be approved.</w:t>
      </w:r>
    </w:p>
    <w:p w14:paraId="037CFCDD" w14:textId="209C0E56" w:rsidR="005410D3" w:rsidRPr="00AC3ABB" w:rsidRDefault="005410D3" w:rsidP="005410D3">
      <w:pPr>
        <w:pStyle w:val="Default"/>
        <w:rPr>
          <w:rFonts w:ascii="Verdana" w:eastAsia="Verdana" w:hAnsi="Verdana" w:cs="Verdana"/>
          <w:sz w:val="22"/>
          <w:szCs w:val="22"/>
        </w:rPr>
      </w:pPr>
    </w:p>
    <w:p w14:paraId="1DDEC931" w14:textId="2B4B0326" w:rsidR="007303B6" w:rsidRDefault="007303B6" w:rsidP="005410D3">
      <w:pPr>
        <w:pStyle w:val="Default"/>
        <w:rPr>
          <w:rFonts w:ascii="Monotype Corsiva" w:eastAsia="Verdana" w:hAnsi="Monotype Corsiva" w:cs="Verdana"/>
          <w:sz w:val="36"/>
          <w:szCs w:val="36"/>
        </w:rPr>
      </w:pPr>
    </w:p>
    <w:p w14:paraId="4A6E4ACC" w14:textId="6D0D5D12" w:rsidR="007303B6" w:rsidRDefault="009D516D" w:rsidP="005410D3">
      <w:pPr>
        <w:pStyle w:val="Default"/>
        <w:rPr>
          <w:rFonts w:ascii="Monotype Corsiva" w:eastAsia="Verdana" w:hAnsi="Monotype Corsiva" w:cs="Verdana"/>
          <w:sz w:val="36"/>
          <w:szCs w:val="36"/>
        </w:rPr>
      </w:pPr>
      <w:r>
        <w:rPr>
          <w:rFonts w:ascii="Monotype Corsiva" w:eastAsia="Verdana" w:hAnsi="Monotype Corsiva" w:cs="Verdana"/>
          <w:sz w:val="36"/>
          <w:szCs w:val="36"/>
        </w:rPr>
        <w:t>Keith Holland</w:t>
      </w:r>
    </w:p>
    <w:p w14:paraId="7D1E1A8C" w14:textId="77777777" w:rsidR="00872099" w:rsidRDefault="00872099" w:rsidP="005410D3">
      <w:pPr>
        <w:pStyle w:val="Default"/>
        <w:rPr>
          <w:rFonts w:ascii="Monotype Corsiva" w:eastAsia="Verdana" w:hAnsi="Monotype Corsiva" w:cs="Verdana"/>
          <w:sz w:val="36"/>
          <w:szCs w:val="36"/>
        </w:rPr>
      </w:pPr>
    </w:p>
    <w:p w14:paraId="2E1B924A" w14:textId="77777777" w:rsidR="00872099" w:rsidRPr="00582BD2" w:rsidRDefault="00872099" w:rsidP="00872099">
      <w:pPr>
        <w:autoSpaceDE w:val="0"/>
        <w:autoSpaceDN w:val="0"/>
        <w:adjustRightInd w:val="0"/>
        <w:ind w:left="0" w:firstLine="0"/>
        <w:jc w:val="left"/>
        <w:rPr>
          <w:rFonts w:eastAsiaTheme="minorHAnsi" w:cs="Arial"/>
          <w:b/>
          <w:bCs/>
          <w:szCs w:val="22"/>
          <w:lang w:eastAsia="en-US"/>
        </w:rPr>
      </w:pPr>
      <w:r>
        <w:t>Keith Holland BA (Hons) Dip TP MRTPI ARICS</w:t>
      </w:r>
    </w:p>
    <w:p w14:paraId="3B11563D" w14:textId="74B29D7B" w:rsidR="007303B6" w:rsidRPr="00C86FF3" w:rsidRDefault="007303B6" w:rsidP="005410D3">
      <w:pPr>
        <w:pStyle w:val="Default"/>
        <w:rPr>
          <w:rFonts w:ascii="Verdana" w:eastAsia="Verdana" w:hAnsi="Verdana" w:cs="Verdana"/>
          <w:sz w:val="22"/>
          <w:szCs w:val="22"/>
        </w:rPr>
      </w:pPr>
      <w:r w:rsidRPr="00C86FF3">
        <w:rPr>
          <w:rFonts w:ascii="Verdana" w:eastAsia="Verdana" w:hAnsi="Verdana" w:cs="Verdana"/>
          <w:sz w:val="22"/>
          <w:szCs w:val="22"/>
        </w:rPr>
        <w:t>Examiner</w:t>
      </w:r>
    </w:p>
    <w:p w14:paraId="4C0915C8" w14:textId="079FBAFE" w:rsidR="005410D3" w:rsidRDefault="005410D3" w:rsidP="005410D3">
      <w:pPr>
        <w:pStyle w:val="Default"/>
        <w:rPr>
          <w:rFonts w:ascii="SignPainter" w:eastAsia="SignPainter" w:hAnsi="SignPainter" w:cs="SignPainter"/>
        </w:rPr>
      </w:pPr>
    </w:p>
    <w:p w14:paraId="13958508" w14:textId="77777777" w:rsidR="005410D3" w:rsidRDefault="005410D3" w:rsidP="005410D3">
      <w:pPr>
        <w:pStyle w:val="Default"/>
        <w:rPr>
          <w:rFonts w:ascii="SignPainter" w:eastAsia="SignPainter" w:hAnsi="SignPainter" w:cs="SignPainter"/>
        </w:rPr>
      </w:pPr>
    </w:p>
    <w:p w14:paraId="6CB79652" w14:textId="69B3E5F4" w:rsidR="005410D3" w:rsidRDefault="005410D3" w:rsidP="00896FAC">
      <w:pPr>
        <w:pStyle w:val="DPDIntro"/>
        <w:widowControl w:val="0"/>
      </w:pPr>
    </w:p>
    <w:p w14:paraId="4273D848" w14:textId="77777777" w:rsidR="00896FAC" w:rsidRDefault="00896FAC" w:rsidP="00896FAC">
      <w:pPr>
        <w:pStyle w:val="DPDReportNumberedParaIntro"/>
        <w:numPr>
          <w:ilvl w:val="0"/>
          <w:numId w:val="0"/>
        </w:numPr>
        <w:rPr>
          <w:szCs w:val="22"/>
        </w:rPr>
      </w:pPr>
    </w:p>
    <w:p w14:paraId="2ADBFFCC" w14:textId="65133F49" w:rsidR="00761989" w:rsidRPr="001F7299" w:rsidRDefault="00761989" w:rsidP="001F7299">
      <w:pPr>
        <w:spacing w:after="160" w:line="259" w:lineRule="auto"/>
        <w:ind w:left="0" w:firstLine="0"/>
        <w:jc w:val="left"/>
      </w:pPr>
    </w:p>
    <w:sectPr w:rsidR="00761989" w:rsidRPr="001F72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98BF2" w14:textId="77777777" w:rsidR="003E407B" w:rsidRDefault="003E407B" w:rsidP="00F82C24">
      <w:r>
        <w:separator/>
      </w:r>
    </w:p>
  </w:endnote>
  <w:endnote w:type="continuationSeparator" w:id="0">
    <w:p w14:paraId="1616D14E" w14:textId="77777777" w:rsidR="003E407B" w:rsidRDefault="003E407B" w:rsidP="00F8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EFF" w:usb1="C000785B"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nsport Ligh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 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Monotype Corsiva">
    <w:panose1 w:val="03010101010201010101"/>
    <w:charset w:val="00"/>
    <w:family w:val="script"/>
    <w:pitch w:val="variable"/>
    <w:sig w:usb0="00000287" w:usb1="00000000" w:usb2="00000000" w:usb3="00000000" w:csb0="0000009F" w:csb1="00000000"/>
  </w:font>
  <w:font w:name="SignPainter">
    <w:altName w:val="Times New Roman"/>
    <w:charset w:val="00"/>
    <w:family w:val="roman"/>
    <w:pitch w:val="default"/>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227398"/>
      <w:docPartObj>
        <w:docPartGallery w:val="Page Numbers (Bottom of Page)"/>
        <w:docPartUnique/>
      </w:docPartObj>
    </w:sdtPr>
    <w:sdtEndPr>
      <w:rPr>
        <w:noProof/>
      </w:rPr>
    </w:sdtEndPr>
    <w:sdtContent>
      <w:p w14:paraId="0CEA0370" w14:textId="224B8AFA" w:rsidR="00AC1AC0" w:rsidRDefault="00E82D45" w:rsidP="00E82D45">
        <w:pPr>
          <w:pStyle w:val="Footer"/>
          <w:jc w:val="center"/>
          <w:rPr>
            <w:rFonts w:ascii="Microsoft JhengHei UI" w:eastAsia="Microsoft JhengHei UI" w:hAnsi="Microsoft JhengHei UI"/>
            <w:color w:val="002060"/>
            <w:sz w:val="20"/>
          </w:rPr>
        </w:pPr>
        <w:r w:rsidRPr="00CB17B1">
          <w:rPr>
            <w:rFonts w:ascii="Microsoft JhengHei UI" w:eastAsia="Microsoft JhengHei UI" w:hAnsi="Microsoft JhengHei UI"/>
            <w:color w:val="002060"/>
            <w:sz w:val="20"/>
          </w:rPr>
          <w:t xml:space="preserve">Intelligent Plans and Examinations (IPE) Ltd, </w:t>
        </w:r>
        <w:r w:rsidR="005C5884">
          <w:rPr>
            <w:rFonts w:ascii="Microsoft JhengHei UI" w:eastAsia="Microsoft JhengHei UI" w:hAnsi="Microsoft JhengHei UI"/>
            <w:color w:val="002060"/>
            <w:sz w:val="20"/>
          </w:rPr>
          <w:t xml:space="preserve">3 Princes Street, </w:t>
        </w:r>
        <w:r>
          <w:rPr>
            <w:rFonts w:ascii="Microsoft JhengHei UI" w:eastAsia="Microsoft JhengHei UI" w:hAnsi="Microsoft JhengHei UI"/>
            <w:color w:val="002060"/>
            <w:sz w:val="20"/>
          </w:rPr>
          <w:t>B</w:t>
        </w:r>
        <w:r w:rsidR="00AC1AC0">
          <w:rPr>
            <w:rFonts w:ascii="Microsoft JhengHei UI" w:eastAsia="Microsoft JhengHei UI" w:hAnsi="Microsoft JhengHei UI"/>
            <w:color w:val="002060"/>
            <w:sz w:val="20"/>
          </w:rPr>
          <w:t xml:space="preserve">ath BA1 </w:t>
        </w:r>
        <w:r w:rsidR="005C5884">
          <w:rPr>
            <w:rFonts w:ascii="Microsoft JhengHei UI" w:eastAsia="Microsoft JhengHei UI" w:hAnsi="Microsoft JhengHei UI"/>
            <w:color w:val="002060"/>
            <w:sz w:val="20"/>
          </w:rPr>
          <w:t>1HL</w:t>
        </w:r>
      </w:p>
      <w:p w14:paraId="33CEC012" w14:textId="368E51EF" w:rsidR="00E82D45" w:rsidRPr="00D20769" w:rsidRDefault="00E82D45" w:rsidP="00E82D45">
        <w:pPr>
          <w:pStyle w:val="Footer"/>
          <w:jc w:val="center"/>
          <w:rPr>
            <w:rFonts w:ascii="Microsoft JhengHei UI" w:eastAsia="Microsoft JhengHei UI" w:hAnsi="Microsoft JhengHei UI"/>
            <w:color w:val="002060"/>
            <w:sz w:val="20"/>
          </w:rPr>
        </w:pPr>
        <w:r w:rsidRPr="00CB17B1">
          <w:rPr>
            <w:rFonts w:ascii="Microsoft JhengHei UI" w:eastAsia="Microsoft JhengHei UI" w:hAnsi="Microsoft JhengHei UI"/>
            <w:color w:val="92D050"/>
            <w:sz w:val="16"/>
            <w:szCs w:val="16"/>
          </w:rPr>
          <w:t xml:space="preserve">Registered in England and Wales. Company Reg. No. </w:t>
        </w:r>
        <w:r w:rsidR="00C86FF3">
          <w:rPr>
            <w:rFonts w:ascii="Microsoft JhengHei UI" w:eastAsia="Microsoft JhengHei UI" w:hAnsi="Microsoft JhengHei UI"/>
            <w:color w:val="92D050"/>
            <w:sz w:val="16"/>
            <w:szCs w:val="16"/>
          </w:rPr>
          <w:t>1</w:t>
        </w:r>
        <w:r w:rsidRPr="00CB17B1">
          <w:rPr>
            <w:rFonts w:ascii="Microsoft JhengHei UI" w:eastAsia="Microsoft JhengHei UI" w:hAnsi="Microsoft JhengHei UI"/>
            <w:color w:val="92D050"/>
            <w:sz w:val="16"/>
            <w:szCs w:val="16"/>
          </w:rPr>
          <w:t>0100118</w:t>
        </w:r>
        <w:r>
          <w:rPr>
            <w:rFonts w:ascii="Microsoft JhengHei UI" w:eastAsia="Microsoft JhengHei UI" w:hAnsi="Microsoft JhengHei UI"/>
            <w:color w:val="92D050"/>
            <w:sz w:val="16"/>
            <w:szCs w:val="16"/>
          </w:rPr>
          <w:t xml:space="preserve">. VAT Reg. No. </w:t>
        </w:r>
        <w:r w:rsidRPr="00D20769">
          <w:rPr>
            <w:rFonts w:ascii="Microsoft JhengHei UI" w:eastAsia="Microsoft JhengHei UI" w:hAnsi="Microsoft JhengHei UI"/>
            <w:color w:val="92D050"/>
            <w:sz w:val="16"/>
            <w:szCs w:val="16"/>
          </w:rPr>
          <w:t>237 7641 84</w:t>
        </w:r>
      </w:p>
      <w:p w14:paraId="3AD4E947" w14:textId="5F1D7F6A" w:rsidR="00E82D45" w:rsidRDefault="00E82D45" w:rsidP="00E82D45">
        <w:pPr>
          <w:pStyle w:val="Footer"/>
          <w:jc w:val="center"/>
        </w:pPr>
        <w:r>
          <w:fldChar w:fldCharType="begin"/>
        </w:r>
        <w:r>
          <w:instrText xml:space="preserve"> PAGE   \* MERGEFORMAT </w:instrText>
        </w:r>
        <w:r>
          <w:fldChar w:fldCharType="separate"/>
        </w:r>
        <w:r w:rsidR="00B3744B">
          <w:rPr>
            <w:noProof/>
          </w:rPr>
          <w:t>1</w:t>
        </w:r>
        <w:r>
          <w:rPr>
            <w:noProof/>
          </w:rPr>
          <w:fldChar w:fldCharType="end"/>
        </w:r>
      </w:p>
    </w:sdtContent>
  </w:sdt>
  <w:p w14:paraId="295C4ED6" w14:textId="77777777" w:rsidR="00F82C24" w:rsidRDefault="00F82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45B3" w14:textId="77777777" w:rsidR="003E407B" w:rsidRDefault="003E407B" w:rsidP="00F82C24">
      <w:r>
        <w:separator/>
      </w:r>
    </w:p>
  </w:footnote>
  <w:footnote w:type="continuationSeparator" w:id="0">
    <w:p w14:paraId="511F39B0" w14:textId="77777777" w:rsidR="003E407B" w:rsidRDefault="003E407B" w:rsidP="00F82C24">
      <w:r>
        <w:continuationSeparator/>
      </w:r>
    </w:p>
  </w:footnote>
  <w:footnote w:id="1">
    <w:p w14:paraId="1F976737" w14:textId="73DAEEF2" w:rsidR="00520C7C" w:rsidRDefault="00520C7C" w:rsidP="00520C7C">
      <w:pPr>
        <w:pStyle w:val="FootnoteText"/>
      </w:pPr>
      <w:r>
        <w:rPr>
          <w:rStyle w:val="FootnoteReference"/>
        </w:rPr>
        <w:footnoteRef/>
      </w:r>
      <w:r>
        <w:t xml:space="preserve"> Paragraph </w:t>
      </w:r>
      <w:r w:rsidRPr="0041287B">
        <w:rPr>
          <w:b/>
          <w:bCs/>
        </w:rPr>
        <w:t>35</w:t>
      </w:r>
      <w:r>
        <w:t xml:space="preserve"> of the current NPPF (December 2024).</w:t>
      </w:r>
    </w:p>
  </w:footnote>
  <w:footnote w:id="2">
    <w:p w14:paraId="05F896B1" w14:textId="77777777" w:rsidR="00D14A1D" w:rsidRPr="009161FE" w:rsidRDefault="00D14A1D" w:rsidP="00D14A1D">
      <w:pPr>
        <w:pStyle w:val="FootnoteText"/>
        <w:ind w:left="0" w:firstLine="0"/>
        <w:jc w:val="left"/>
      </w:pPr>
      <w:r w:rsidRPr="009161FE">
        <w:rPr>
          <w:rStyle w:val="FootnoteReference"/>
        </w:rPr>
        <w:footnoteRef/>
      </w:r>
      <w:r w:rsidRPr="009161FE">
        <w:t xml:space="preserve"> The Regulations have been updated through numerous statutory instruments since 2010, most </w:t>
      </w:r>
      <w:r>
        <w:t xml:space="preserve">notably </w:t>
      </w:r>
      <w:r w:rsidRPr="009161FE">
        <w:t>through t</w:t>
      </w:r>
      <w:r w:rsidRPr="009161FE">
        <w:rPr>
          <w:color w:val="000000"/>
          <w:shd w:val="clear" w:color="auto" w:fill="FFFFFF"/>
        </w:rPr>
        <w:t>he Community Infrastructure Levy (Amendment) (England</w:t>
      </w:r>
      <w:proofErr w:type="gramStart"/>
      <w:r w:rsidRPr="009161FE">
        <w:rPr>
          <w:color w:val="000000"/>
          <w:shd w:val="clear" w:color="auto" w:fill="FFFFFF"/>
        </w:rPr>
        <w:t>)(</w:t>
      </w:r>
      <w:proofErr w:type="gramEnd"/>
      <w:r w:rsidRPr="009161FE">
        <w:rPr>
          <w:color w:val="000000"/>
          <w:shd w:val="clear" w:color="auto" w:fill="FFFFFF"/>
        </w:rPr>
        <w:t>No. 2) Regulations 2019</w:t>
      </w:r>
      <w:r>
        <w:rPr>
          <w:color w:val="000000"/>
          <w:shd w:val="clear" w:color="auto" w:fill="FFFFFF"/>
        </w:rPr>
        <w:t xml:space="preserve">. </w:t>
      </w:r>
    </w:p>
  </w:footnote>
  <w:footnote w:id="3">
    <w:p w14:paraId="7C38033C" w14:textId="17C511B4" w:rsidR="00D14A1D" w:rsidRDefault="00D14A1D" w:rsidP="00D14A1D">
      <w:pPr>
        <w:pStyle w:val="FootnoteText"/>
        <w:ind w:left="0" w:firstLine="0"/>
        <w:jc w:val="left"/>
      </w:pPr>
      <w:r>
        <w:rPr>
          <w:rStyle w:val="FootnoteReference"/>
        </w:rPr>
        <w:footnoteRef/>
      </w:r>
      <w:r>
        <w:t xml:space="preserve"> The CIL section of the PPG was substantially updated on 1 September 2019, and most recently updated 26 April 2024. At the time of completion of the examination, no further updates have been made to the CIL section of the PPG following publication of the December 2024 NPPF. For example, in relation to Development contributions, </w:t>
      </w:r>
      <w:r w:rsidR="0041287B">
        <w:t xml:space="preserve">the </w:t>
      </w:r>
      <w:r>
        <w:t xml:space="preserve">paragraph </w:t>
      </w:r>
      <w:r w:rsidR="0041287B">
        <w:t xml:space="preserve">referenced </w:t>
      </w:r>
      <w:r w:rsidR="00872099">
        <w:t xml:space="preserve">in the current PPG </w:t>
      </w:r>
      <w:r w:rsidR="0041287B">
        <w:t xml:space="preserve">as </w:t>
      </w:r>
      <w:r>
        <w:t xml:space="preserve">34 is now paragraph </w:t>
      </w:r>
      <w:r w:rsidRPr="0041287B">
        <w:rPr>
          <w:b/>
          <w:bCs/>
        </w:rPr>
        <w:t>35</w:t>
      </w:r>
      <w:r>
        <w:t xml:space="preserve"> (albeit the text remains unchanged).</w:t>
      </w:r>
    </w:p>
  </w:footnote>
  <w:footnote w:id="4">
    <w:p w14:paraId="5AEE2322" w14:textId="06286F4E" w:rsidR="00EB6300" w:rsidRPr="00EB6300" w:rsidRDefault="00EB6300" w:rsidP="009161FE">
      <w:pPr>
        <w:pStyle w:val="FootnoteText"/>
        <w:jc w:val="left"/>
      </w:pPr>
      <w:r>
        <w:rPr>
          <w:rStyle w:val="FootnoteReference"/>
        </w:rPr>
        <w:footnoteRef/>
      </w:r>
      <w:r>
        <w:t xml:space="preserve"> </w:t>
      </w:r>
      <w:r w:rsidRPr="00EB6300">
        <w:t xml:space="preserve">See PPG Reference ID: </w:t>
      </w:r>
      <w:r w:rsidRPr="00EB6300">
        <w:rPr>
          <w:rFonts w:cs="Arial"/>
          <w:color w:val="0B0C0C"/>
          <w:shd w:val="clear" w:color="auto" w:fill="FFFFFF"/>
        </w:rPr>
        <w:t>25-040-20190901</w:t>
      </w:r>
      <w:r w:rsidR="00BB2F80">
        <w:rPr>
          <w:rFonts w:cs="Arial"/>
          <w:color w:val="0B0C0C"/>
          <w:shd w:val="clear" w:color="auto" w:fill="FFFFFF"/>
        </w:rPr>
        <w:t>.</w:t>
      </w:r>
    </w:p>
  </w:footnote>
  <w:footnote w:id="5">
    <w:p w14:paraId="0326B7F9" w14:textId="382B2CA9" w:rsidR="00D14A1D" w:rsidRDefault="00D14A1D" w:rsidP="00D14A1D">
      <w:pPr>
        <w:pStyle w:val="FootnoteText"/>
      </w:pPr>
      <w:r>
        <w:rPr>
          <w:rStyle w:val="FootnoteReference"/>
        </w:rPr>
        <w:footnoteRef/>
      </w:r>
      <w:r>
        <w:t xml:space="preserve"> Paragraph </w:t>
      </w:r>
      <w:r w:rsidRPr="0041287B">
        <w:rPr>
          <w:b/>
          <w:bCs/>
        </w:rPr>
        <w:t>35</w:t>
      </w:r>
      <w:r>
        <w:t xml:space="preserve"> of the current NPPF (December 2024).</w:t>
      </w:r>
    </w:p>
  </w:footnote>
  <w:footnote w:id="6">
    <w:p w14:paraId="19F55DBA" w14:textId="7B11498F" w:rsidR="004C294C" w:rsidRDefault="004C294C" w:rsidP="00235481">
      <w:pPr>
        <w:pStyle w:val="FootnoteText"/>
        <w:ind w:left="0" w:hanging="6"/>
        <w:jc w:val="left"/>
      </w:pPr>
      <w:r>
        <w:rPr>
          <w:rStyle w:val="FootnoteReference"/>
        </w:rPr>
        <w:footnoteRef/>
      </w:r>
      <w:r w:rsidR="00DC7C29">
        <w:t xml:space="preserve"> </w:t>
      </w:r>
      <w:r w:rsidRPr="004C294C">
        <w:t xml:space="preserve">Oxford City Council </w:t>
      </w:r>
      <w:r w:rsidR="00DC7C29">
        <w:t xml:space="preserve">initially </w:t>
      </w:r>
      <w:r w:rsidRPr="004C294C">
        <w:t xml:space="preserve">submitted the CIL </w:t>
      </w:r>
      <w:r>
        <w:t>C</w:t>
      </w:r>
      <w:r w:rsidRPr="004C294C">
        <w:t xml:space="preserve">harging </w:t>
      </w:r>
      <w:r>
        <w:t>S</w:t>
      </w:r>
      <w:r w:rsidRPr="004C294C">
        <w:t xml:space="preserve">chedule to </w:t>
      </w:r>
      <w:r>
        <w:t xml:space="preserve">the Planning </w:t>
      </w:r>
      <w:proofErr w:type="gramStart"/>
      <w:r>
        <w:t xml:space="preserve">Inspectorate </w:t>
      </w:r>
      <w:r w:rsidRPr="004C294C">
        <w:t xml:space="preserve"> on</w:t>
      </w:r>
      <w:proofErr w:type="gramEnd"/>
      <w:r w:rsidRPr="004C294C">
        <w:t xml:space="preserve"> 27 June 2024</w:t>
      </w:r>
      <w:r>
        <w:t xml:space="preserve">. However, </w:t>
      </w:r>
      <w:r w:rsidR="00DC7C29">
        <w:t>in the absence of the appointment of an Inspector, the same</w:t>
      </w:r>
      <w:r>
        <w:t xml:space="preserve"> </w:t>
      </w:r>
      <w:r w:rsidR="00DC7C29">
        <w:t xml:space="preserve">schedule </w:t>
      </w:r>
      <w:r w:rsidRPr="004C294C">
        <w:t xml:space="preserve">and supporting documentation </w:t>
      </w:r>
      <w:r>
        <w:t xml:space="preserve">was submitted to </w:t>
      </w:r>
      <w:r w:rsidRPr="004C294C">
        <w:t>independent</w:t>
      </w:r>
      <w:r>
        <w:t xml:space="preserve"> examiner Keith Holland</w:t>
      </w:r>
      <w:r w:rsidR="00DC7C29">
        <w:t xml:space="preserve"> (of</w:t>
      </w:r>
      <w:r w:rsidRPr="004C294C">
        <w:t xml:space="preserve"> Intelligent Plans and </w:t>
      </w:r>
      <w:r>
        <w:t>e</w:t>
      </w:r>
      <w:r w:rsidRPr="004C294C">
        <w:t>xaminations</w:t>
      </w:r>
      <w:r w:rsidR="00DC7C29">
        <w:t>)</w:t>
      </w:r>
      <w:r w:rsidRPr="004C294C">
        <w:t xml:space="preserve"> on 12 February 2025.</w:t>
      </w:r>
    </w:p>
  </w:footnote>
  <w:footnote w:id="7">
    <w:p w14:paraId="287B7AA9" w14:textId="765102E0" w:rsidR="00235481" w:rsidRDefault="00235481" w:rsidP="00235481">
      <w:pPr>
        <w:pStyle w:val="FootnoteText"/>
        <w:ind w:left="0" w:firstLine="0"/>
        <w:jc w:val="left"/>
      </w:pPr>
      <w:r>
        <w:rPr>
          <w:rStyle w:val="FootnoteReference"/>
        </w:rPr>
        <w:footnoteRef/>
      </w:r>
      <w:r>
        <w:t xml:space="preserve"> View at:</w:t>
      </w:r>
      <w:r w:rsidRPr="00235481">
        <w:t xml:space="preserve"> </w:t>
      </w:r>
      <w:hyperlink r:id="rId1" w:history="1">
        <w:r w:rsidRPr="00C52702">
          <w:rPr>
            <w:rStyle w:val="Hyperlink"/>
          </w:rPr>
          <w:t>https://www.oxford.gov.uk/community-infrastructure-levy/community-infrastructure-levy-oxford</w:t>
        </w:r>
      </w:hyperlink>
    </w:p>
  </w:footnote>
  <w:footnote w:id="8">
    <w:p w14:paraId="3770DDD1" w14:textId="43ACB3A5" w:rsidR="00D5216C" w:rsidRDefault="00D5216C">
      <w:pPr>
        <w:pStyle w:val="FootnoteText"/>
      </w:pPr>
      <w:r>
        <w:rPr>
          <w:rStyle w:val="FootnoteReference"/>
        </w:rPr>
        <w:footnoteRef/>
      </w:r>
      <w:r>
        <w:t xml:space="preserve"> </w:t>
      </w:r>
      <w:r w:rsidR="001A5996">
        <w:t xml:space="preserve">The rate will increase again with 2025 indexation when the CIL is adopted. </w:t>
      </w:r>
    </w:p>
  </w:footnote>
  <w:footnote w:id="9">
    <w:p w14:paraId="6C96B9F7" w14:textId="0812BED9" w:rsidR="00235481" w:rsidRDefault="00DC7C29" w:rsidP="00235481">
      <w:pPr>
        <w:pStyle w:val="FootnoteText"/>
        <w:ind w:left="0" w:hanging="6"/>
        <w:jc w:val="left"/>
      </w:pPr>
      <w:r>
        <w:rPr>
          <w:rStyle w:val="FootnoteReference"/>
        </w:rPr>
        <w:footnoteRef/>
      </w:r>
      <w:r>
        <w:t xml:space="preserve"> </w:t>
      </w:r>
      <w:r w:rsidR="00235481">
        <w:t xml:space="preserve">All relevant consultation, submission and examination documentation may be viewed  at: </w:t>
      </w:r>
      <w:hyperlink r:id="rId2" w:history="1">
        <w:r w:rsidR="00235481" w:rsidRPr="00C52702">
          <w:rPr>
            <w:rStyle w:val="Hyperlink"/>
          </w:rPr>
          <w:t>https://www.oxford.gov.uk/community-infrastructure-levy/cil-partial-review-examination-library</w:t>
        </w:r>
      </w:hyperlink>
    </w:p>
  </w:footnote>
  <w:footnote w:id="10">
    <w:p w14:paraId="15831F92" w14:textId="2168D864" w:rsidR="00D14A1D" w:rsidRDefault="00D14A1D" w:rsidP="00D14A1D">
      <w:pPr>
        <w:pStyle w:val="FootnoteText"/>
      </w:pPr>
      <w:r>
        <w:rPr>
          <w:rStyle w:val="FootnoteReference"/>
        </w:rPr>
        <w:footnoteRef/>
      </w:r>
      <w:r>
        <w:t xml:space="preserve"> Paragraph 35 of the current NPPF (December 2024).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856"/>
    <w:multiLevelType w:val="hybridMultilevel"/>
    <w:tmpl w:val="4E2670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92B7F"/>
    <w:multiLevelType w:val="multilevel"/>
    <w:tmpl w:val="C18E1F9C"/>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95078AC"/>
    <w:multiLevelType w:val="hybridMultilevel"/>
    <w:tmpl w:val="6F80111C"/>
    <w:lvl w:ilvl="0" w:tplc="B7748110">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18912236"/>
    <w:multiLevelType w:val="multilevel"/>
    <w:tmpl w:val="5DE0ECA6"/>
    <w:lvl w:ilvl="0">
      <w:start w:val="1"/>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1BC765F9"/>
    <w:multiLevelType w:val="hybridMultilevel"/>
    <w:tmpl w:val="9E20C0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A3762"/>
    <w:multiLevelType w:val="hybridMultilevel"/>
    <w:tmpl w:val="AC469AD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B2C91"/>
    <w:multiLevelType w:val="hybridMultilevel"/>
    <w:tmpl w:val="119E2A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3FFC"/>
    <w:multiLevelType w:val="hybridMultilevel"/>
    <w:tmpl w:val="F204248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A38A9"/>
    <w:multiLevelType w:val="hybridMultilevel"/>
    <w:tmpl w:val="B6045AFA"/>
    <w:lvl w:ilvl="0" w:tplc="99664E3A">
      <w:start w:val="1"/>
      <w:numFmt w:val="decimal"/>
      <w:lvlText w:val="%1."/>
      <w:lvlJc w:val="left"/>
      <w:pPr>
        <w:tabs>
          <w:tab w:val="num" w:pos="510"/>
        </w:tabs>
        <w:ind w:left="510" w:hanging="510"/>
      </w:pPr>
      <w:rPr>
        <w:rFonts w:hint="default"/>
        <w:color w:val="auto"/>
      </w:rPr>
    </w:lvl>
    <w:lvl w:ilvl="1" w:tplc="BB9E4366">
      <w:start w:val="1"/>
      <w:numFmt w:val="bullet"/>
      <w:lvlText w:val=""/>
      <w:lvlJc w:val="left"/>
      <w:pPr>
        <w:tabs>
          <w:tab w:val="num" w:pos="1534"/>
        </w:tabs>
        <w:ind w:left="1534" w:hanging="454"/>
      </w:pPr>
      <w:rPr>
        <w:rFonts w:ascii="Wingdings" w:hAnsi="Wingding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B50A8B"/>
    <w:multiLevelType w:val="hybridMultilevel"/>
    <w:tmpl w:val="33968384"/>
    <w:numStyleLink w:val="Numbered"/>
  </w:abstractNum>
  <w:abstractNum w:abstractNumId="10" w15:restartNumberingAfterBreak="0">
    <w:nsid w:val="2E0F2B0A"/>
    <w:multiLevelType w:val="hybridMultilevel"/>
    <w:tmpl w:val="BDEC9D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21E88"/>
    <w:multiLevelType w:val="hybridMultilevel"/>
    <w:tmpl w:val="F96090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073A9"/>
    <w:multiLevelType w:val="hybridMultilevel"/>
    <w:tmpl w:val="ED1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21FFA"/>
    <w:multiLevelType w:val="hybridMultilevel"/>
    <w:tmpl w:val="E3420C2E"/>
    <w:lvl w:ilvl="0" w:tplc="2D242E0A">
      <w:start w:val="4"/>
      <w:numFmt w:val="bullet"/>
      <w:lvlText w:val="-"/>
      <w:lvlJc w:val="left"/>
      <w:pPr>
        <w:ind w:left="1211" w:hanging="360"/>
      </w:pPr>
      <w:rPr>
        <w:rFonts w:ascii="Transport Light" w:eastAsia="Times New Roman" w:hAnsi="Transport Light" w:cs="Helvetica"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3CC22A5E"/>
    <w:multiLevelType w:val="multilevel"/>
    <w:tmpl w:val="45F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4D3922"/>
    <w:multiLevelType w:val="hybridMultilevel"/>
    <w:tmpl w:val="3DDA49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A908B2"/>
    <w:multiLevelType w:val="hybridMultilevel"/>
    <w:tmpl w:val="F1724A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43981"/>
    <w:multiLevelType w:val="hybridMultilevel"/>
    <w:tmpl w:val="8F263966"/>
    <w:lvl w:ilvl="0" w:tplc="5436EF06">
      <w:start w:val="1"/>
      <w:numFmt w:val="bullet"/>
      <w:lvlText w:val=""/>
      <w:lvlJc w:val="left"/>
      <w:pPr>
        <w:tabs>
          <w:tab w:val="num" w:pos="1260"/>
        </w:tabs>
        <w:ind w:left="1260" w:hanging="360"/>
      </w:pPr>
      <w:rPr>
        <w:rFonts w:ascii="Symbol" w:hAnsi="Symbol"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8" w15:restartNumberingAfterBreak="0">
    <w:nsid w:val="43637F6A"/>
    <w:multiLevelType w:val="hybridMultilevel"/>
    <w:tmpl w:val="7C16CE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7A45D2"/>
    <w:multiLevelType w:val="multilevel"/>
    <w:tmpl w:val="7B6C76AC"/>
    <w:lvl w:ilvl="0">
      <w:start w:val="1"/>
      <w:numFmt w:val="decimal"/>
      <w:lvlText w:val="%1."/>
      <w:lvlJc w:val="left"/>
      <w:pPr>
        <w:ind w:left="76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973" w:hanging="108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3019" w:hanging="1800"/>
      </w:pPr>
      <w:rPr>
        <w:rFonts w:hint="default"/>
      </w:rPr>
    </w:lvl>
    <w:lvl w:ilvl="6">
      <w:start w:val="1"/>
      <w:numFmt w:val="decimal"/>
      <w:isLgl/>
      <w:lvlText w:val="%1.%2.%3.%4.%5.%6.%7"/>
      <w:lvlJc w:val="left"/>
      <w:pPr>
        <w:ind w:left="3182" w:hanging="1800"/>
      </w:pPr>
      <w:rPr>
        <w:rFonts w:hint="default"/>
      </w:rPr>
    </w:lvl>
    <w:lvl w:ilvl="7">
      <w:start w:val="1"/>
      <w:numFmt w:val="decimal"/>
      <w:isLgl/>
      <w:lvlText w:val="%1.%2.%3.%4.%5.%6.%7.%8"/>
      <w:lvlJc w:val="left"/>
      <w:pPr>
        <w:ind w:left="3705" w:hanging="2160"/>
      </w:pPr>
      <w:rPr>
        <w:rFonts w:hint="default"/>
      </w:rPr>
    </w:lvl>
    <w:lvl w:ilvl="8">
      <w:start w:val="1"/>
      <w:numFmt w:val="decimal"/>
      <w:isLgl/>
      <w:lvlText w:val="%1.%2.%3.%4.%5.%6.%7.%8.%9"/>
      <w:lvlJc w:val="left"/>
      <w:pPr>
        <w:ind w:left="4228" w:hanging="2520"/>
      </w:pPr>
      <w:rPr>
        <w:rFonts w:hint="default"/>
      </w:rPr>
    </w:lvl>
  </w:abstractNum>
  <w:abstractNum w:abstractNumId="20" w15:restartNumberingAfterBreak="0">
    <w:nsid w:val="4AFF66E4"/>
    <w:multiLevelType w:val="multilevel"/>
    <w:tmpl w:val="111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D595F"/>
    <w:multiLevelType w:val="hybridMultilevel"/>
    <w:tmpl w:val="76EEF698"/>
    <w:lvl w:ilvl="0" w:tplc="1582725A">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219D4"/>
    <w:multiLevelType w:val="hybridMultilevel"/>
    <w:tmpl w:val="DF30CB5C"/>
    <w:lvl w:ilvl="0" w:tplc="08E20BD8">
      <w:start w:val="1"/>
      <w:numFmt w:val="bullet"/>
      <w:lvlText w:val=""/>
      <w:lvlJc w:val="left"/>
      <w:pPr>
        <w:tabs>
          <w:tab w:val="num" w:pos="1440"/>
        </w:tabs>
        <w:ind w:left="1440" w:hanging="360"/>
      </w:pPr>
      <w:rPr>
        <w:rFonts w:ascii="Symbol" w:hAnsi="Symbol" w:hint="default"/>
      </w:rPr>
    </w:lvl>
    <w:lvl w:ilvl="1" w:tplc="C8C23B46" w:tentative="1">
      <w:start w:val="1"/>
      <w:numFmt w:val="lowerLetter"/>
      <w:lvlText w:val="%2."/>
      <w:lvlJc w:val="left"/>
      <w:pPr>
        <w:tabs>
          <w:tab w:val="num" w:pos="2160"/>
        </w:tabs>
        <w:ind w:left="2160" w:hanging="360"/>
      </w:pPr>
    </w:lvl>
    <w:lvl w:ilvl="2" w:tplc="6DD06838" w:tentative="1">
      <w:start w:val="1"/>
      <w:numFmt w:val="lowerRoman"/>
      <w:lvlText w:val="%3."/>
      <w:lvlJc w:val="right"/>
      <w:pPr>
        <w:tabs>
          <w:tab w:val="num" w:pos="2880"/>
        </w:tabs>
        <w:ind w:left="2880" w:hanging="180"/>
      </w:pPr>
    </w:lvl>
    <w:lvl w:ilvl="3" w:tplc="A24E1086" w:tentative="1">
      <w:start w:val="1"/>
      <w:numFmt w:val="decimal"/>
      <w:lvlText w:val="%4."/>
      <w:lvlJc w:val="left"/>
      <w:pPr>
        <w:tabs>
          <w:tab w:val="num" w:pos="3600"/>
        </w:tabs>
        <w:ind w:left="3600" w:hanging="360"/>
      </w:pPr>
    </w:lvl>
    <w:lvl w:ilvl="4" w:tplc="4CB05D2A" w:tentative="1">
      <w:start w:val="1"/>
      <w:numFmt w:val="lowerLetter"/>
      <w:lvlText w:val="%5."/>
      <w:lvlJc w:val="left"/>
      <w:pPr>
        <w:tabs>
          <w:tab w:val="num" w:pos="4320"/>
        </w:tabs>
        <w:ind w:left="4320" w:hanging="360"/>
      </w:pPr>
    </w:lvl>
    <w:lvl w:ilvl="5" w:tplc="8C4EF32A" w:tentative="1">
      <w:start w:val="1"/>
      <w:numFmt w:val="lowerRoman"/>
      <w:lvlText w:val="%6."/>
      <w:lvlJc w:val="right"/>
      <w:pPr>
        <w:tabs>
          <w:tab w:val="num" w:pos="5040"/>
        </w:tabs>
        <w:ind w:left="5040" w:hanging="180"/>
      </w:pPr>
    </w:lvl>
    <w:lvl w:ilvl="6" w:tplc="163EAAF6" w:tentative="1">
      <w:start w:val="1"/>
      <w:numFmt w:val="decimal"/>
      <w:lvlText w:val="%7."/>
      <w:lvlJc w:val="left"/>
      <w:pPr>
        <w:tabs>
          <w:tab w:val="num" w:pos="5760"/>
        </w:tabs>
        <w:ind w:left="5760" w:hanging="360"/>
      </w:pPr>
    </w:lvl>
    <w:lvl w:ilvl="7" w:tplc="4BDA4100" w:tentative="1">
      <w:start w:val="1"/>
      <w:numFmt w:val="lowerLetter"/>
      <w:lvlText w:val="%8."/>
      <w:lvlJc w:val="left"/>
      <w:pPr>
        <w:tabs>
          <w:tab w:val="num" w:pos="6480"/>
        </w:tabs>
        <w:ind w:left="6480" w:hanging="360"/>
      </w:pPr>
    </w:lvl>
    <w:lvl w:ilvl="8" w:tplc="1F72986A" w:tentative="1">
      <w:start w:val="1"/>
      <w:numFmt w:val="lowerRoman"/>
      <w:lvlText w:val="%9."/>
      <w:lvlJc w:val="right"/>
      <w:pPr>
        <w:tabs>
          <w:tab w:val="num" w:pos="7200"/>
        </w:tabs>
        <w:ind w:left="7200" w:hanging="180"/>
      </w:pPr>
    </w:lvl>
  </w:abstractNum>
  <w:abstractNum w:abstractNumId="23" w15:restartNumberingAfterBreak="0">
    <w:nsid w:val="4CDD00FC"/>
    <w:multiLevelType w:val="hybridMultilevel"/>
    <w:tmpl w:val="D5B29D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ED92766"/>
    <w:multiLevelType w:val="hybridMultilevel"/>
    <w:tmpl w:val="A4B07072"/>
    <w:lvl w:ilvl="0" w:tplc="298C41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7C3C4B"/>
    <w:multiLevelType w:val="hybridMultilevel"/>
    <w:tmpl w:val="B366CC1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15:restartNumberingAfterBreak="0">
    <w:nsid w:val="53147567"/>
    <w:multiLevelType w:val="hybridMultilevel"/>
    <w:tmpl w:val="D9A2B1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2056ECC0">
      <w:start w:val="1"/>
      <w:numFmt w:val="decimal"/>
      <w:lvlText w:val="%3."/>
      <w:lvlJc w:val="left"/>
      <w:pPr>
        <w:ind w:left="2340" w:hanging="360"/>
      </w:pPr>
      <w:rPr>
        <w:rFonts w:hint="default"/>
      </w:rPr>
    </w:lvl>
    <w:lvl w:ilvl="3" w:tplc="ACC0C718">
      <w:start w:val="1"/>
      <w:numFmt w:val="bullet"/>
      <w:lvlText w:val="-"/>
      <w:lvlJc w:val="left"/>
      <w:pPr>
        <w:ind w:left="2880" w:hanging="360"/>
      </w:pPr>
      <w:rPr>
        <w:rFonts w:ascii="Verdana" w:eastAsia="Times New Roman" w:hAnsi="Verdana"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5C52BEC"/>
    <w:multiLevelType w:val="hybridMultilevel"/>
    <w:tmpl w:val="82848BE0"/>
    <w:lvl w:ilvl="0" w:tplc="0809001B">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926E43"/>
    <w:multiLevelType w:val="hybridMultilevel"/>
    <w:tmpl w:val="A292572C"/>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59DD32D7"/>
    <w:multiLevelType w:val="hybridMultilevel"/>
    <w:tmpl w:val="51FCC3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0C66056"/>
    <w:multiLevelType w:val="hybridMultilevel"/>
    <w:tmpl w:val="C25A955A"/>
    <w:lvl w:ilvl="0" w:tplc="2D242E0A">
      <w:start w:val="4"/>
      <w:numFmt w:val="bullet"/>
      <w:lvlText w:val="-"/>
      <w:lvlJc w:val="left"/>
      <w:pPr>
        <w:ind w:left="753" w:hanging="360"/>
      </w:pPr>
      <w:rPr>
        <w:rFonts w:ascii="Transport Light" w:eastAsia="Times New Roman" w:hAnsi="Transport Light" w:cs="Helvetica"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11D6B08"/>
    <w:multiLevelType w:val="hybridMultilevel"/>
    <w:tmpl w:val="0DBEA73E"/>
    <w:numStyleLink w:val="Bullet"/>
  </w:abstractNum>
  <w:abstractNum w:abstractNumId="32" w15:restartNumberingAfterBreak="0">
    <w:nsid w:val="61E302B2"/>
    <w:multiLevelType w:val="hybridMultilevel"/>
    <w:tmpl w:val="0EFC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B3C61"/>
    <w:multiLevelType w:val="hybridMultilevel"/>
    <w:tmpl w:val="0DBEA73E"/>
    <w:styleLink w:val="Bullet"/>
    <w:lvl w:ilvl="0" w:tplc="9258CEE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3482A970">
      <w:start w:val="1"/>
      <w:numFmt w:val="bullet"/>
      <w:lvlText w:val="•"/>
      <w:lvlJc w:val="left"/>
      <w:pPr>
        <w:ind w:left="491" w:hanging="311"/>
      </w:pPr>
      <w:rPr>
        <w:rFonts w:hAnsi="Arial Unicode MS"/>
        <w:caps w:val="0"/>
        <w:smallCaps w:val="0"/>
        <w:strike w:val="0"/>
        <w:dstrike w:val="0"/>
        <w:outline w:val="0"/>
        <w:emboss w:val="0"/>
        <w:imprint w:val="0"/>
        <w:spacing w:val="0"/>
        <w:w w:val="100"/>
        <w:kern w:val="0"/>
        <w:position w:val="-2"/>
        <w:highlight w:val="none"/>
        <w:vertAlign w:val="baseline"/>
      </w:rPr>
    </w:lvl>
    <w:lvl w:ilvl="2" w:tplc="A488872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4762BE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78826E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B8472D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0DE80A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290645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29ED2D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4" w15:restartNumberingAfterBreak="0">
    <w:nsid w:val="63371254"/>
    <w:multiLevelType w:val="hybridMultilevel"/>
    <w:tmpl w:val="3880D92E"/>
    <w:lvl w:ilvl="0" w:tplc="752A2CDC">
      <w:start w:val="5"/>
      <w:numFmt w:val="bullet"/>
      <w:lvlText w:val="-"/>
      <w:lvlJc w:val="left"/>
      <w:pPr>
        <w:ind w:left="792" w:hanging="360"/>
      </w:pPr>
      <w:rPr>
        <w:rFonts w:ascii="Verdana" w:eastAsia="Times New Roman" w:hAnsi="Verdana"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5" w15:restartNumberingAfterBreak="0">
    <w:nsid w:val="660758F1"/>
    <w:multiLevelType w:val="hybridMultilevel"/>
    <w:tmpl w:val="8BD84694"/>
    <w:lvl w:ilvl="0" w:tplc="04E2C6DC">
      <w:start w:val="1"/>
      <w:numFmt w:val="decimal"/>
      <w:pStyle w:val="DPDReportNumberedParaIntro"/>
      <w:lvlText w:val="%1."/>
      <w:lvlJc w:val="left"/>
      <w:pPr>
        <w:tabs>
          <w:tab w:val="num" w:pos="567"/>
        </w:tabs>
        <w:ind w:left="567" w:hanging="567"/>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C1D661D"/>
    <w:multiLevelType w:val="hybridMultilevel"/>
    <w:tmpl w:val="EEBAE3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5A58C4"/>
    <w:multiLevelType w:val="hybridMultilevel"/>
    <w:tmpl w:val="C31A4FC2"/>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A6C5E"/>
    <w:multiLevelType w:val="hybridMultilevel"/>
    <w:tmpl w:val="33968384"/>
    <w:styleLink w:val="Numbered"/>
    <w:lvl w:ilvl="0" w:tplc="DD5EF62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EA6C9F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48D54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AA591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11C090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93E0A9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6D4E6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86DFC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910105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F4C16BF"/>
    <w:multiLevelType w:val="multilevel"/>
    <w:tmpl w:val="88F0F4B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70F3A18"/>
    <w:multiLevelType w:val="hybridMultilevel"/>
    <w:tmpl w:val="E2962CD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1" w15:restartNumberingAfterBreak="0">
    <w:nsid w:val="787B61AE"/>
    <w:multiLevelType w:val="hybridMultilevel"/>
    <w:tmpl w:val="34A4E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7"/>
  </w:num>
  <w:num w:numId="3">
    <w:abstractNumId w:val="17"/>
  </w:num>
  <w:num w:numId="4">
    <w:abstractNumId w:val="22"/>
  </w:num>
  <w:num w:numId="5">
    <w:abstractNumId w:val="2"/>
  </w:num>
  <w:num w:numId="6">
    <w:abstractNumId w:val="26"/>
  </w:num>
  <w:num w:numId="7">
    <w:abstractNumId w:val="39"/>
  </w:num>
  <w:num w:numId="8">
    <w:abstractNumId w:val="12"/>
  </w:num>
  <w:num w:numId="9">
    <w:abstractNumId w:val="11"/>
  </w:num>
  <w:num w:numId="10">
    <w:abstractNumId w:val="36"/>
  </w:num>
  <w:num w:numId="11">
    <w:abstractNumId w:val="0"/>
  </w:num>
  <w:num w:numId="12">
    <w:abstractNumId w:val="7"/>
  </w:num>
  <w:num w:numId="13">
    <w:abstractNumId w:val="18"/>
  </w:num>
  <w:num w:numId="14">
    <w:abstractNumId w:val="3"/>
  </w:num>
  <w:num w:numId="15">
    <w:abstractNumId w:val="25"/>
  </w:num>
  <w:num w:numId="16">
    <w:abstractNumId w:val="6"/>
  </w:num>
  <w:num w:numId="17">
    <w:abstractNumId w:val="4"/>
  </w:num>
  <w:num w:numId="18">
    <w:abstractNumId w:val="23"/>
  </w:num>
  <w:num w:numId="19">
    <w:abstractNumId w:val="21"/>
  </w:num>
  <w:num w:numId="20">
    <w:abstractNumId w:val="34"/>
  </w:num>
  <w:num w:numId="21">
    <w:abstractNumId w:val="37"/>
  </w:num>
  <w:num w:numId="22">
    <w:abstractNumId w:val="40"/>
  </w:num>
  <w:num w:numId="23">
    <w:abstractNumId w:val="15"/>
  </w:num>
  <w:num w:numId="24">
    <w:abstractNumId w:val="32"/>
  </w:num>
  <w:num w:numId="25">
    <w:abstractNumId w:val="5"/>
  </w:num>
  <w:num w:numId="26">
    <w:abstractNumId w:val="10"/>
  </w:num>
  <w:num w:numId="27">
    <w:abstractNumId w:val="24"/>
  </w:num>
  <w:num w:numId="28">
    <w:abstractNumId w:val="16"/>
  </w:num>
  <w:num w:numId="29">
    <w:abstractNumId w:val="41"/>
  </w:num>
  <w:num w:numId="30">
    <w:abstractNumId w:val="35"/>
  </w:num>
  <w:num w:numId="31">
    <w:abstractNumId w:val="8"/>
  </w:num>
  <w:num w:numId="32">
    <w:abstractNumId w:val="28"/>
  </w:num>
  <w:num w:numId="33">
    <w:abstractNumId w:val="33"/>
  </w:num>
  <w:num w:numId="34">
    <w:abstractNumId w:val="31"/>
  </w:num>
  <w:num w:numId="35">
    <w:abstractNumId w:val="38"/>
  </w:num>
  <w:num w:numId="36">
    <w:abstractNumId w:val="9"/>
    <w:lvlOverride w:ilvl="0">
      <w:lvl w:ilvl="0" w:tplc="C7D23696">
        <w:start w:val="1"/>
        <w:numFmt w:val="decimal"/>
        <w:lvlText w:val="%1."/>
        <w:lvlJc w:val="left"/>
        <w:pPr>
          <w:ind w:left="393" w:hanging="393"/>
        </w:pPr>
        <w:rPr>
          <w:rFonts w:hAnsi="Arial Unicode MS"/>
          <w:b w:val="0"/>
          <w:bCs w:val="0"/>
          <w:i w:val="0"/>
          <w:caps w:val="0"/>
          <w:smallCaps w:val="0"/>
          <w:strike w:val="0"/>
          <w:dstrike w:val="0"/>
          <w:outline w:val="0"/>
          <w:emboss w:val="0"/>
          <w:imprint w:val="0"/>
          <w:color w:val="auto"/>
          <w:spacing w:val="0"/>
          <w:w w:val="100"/>
          <w:kern w:val="0"/>
          <w:position w:val="0"/>
          <w:highlight w:val="none"/>
          <w:vertAlign w:val="baseline"/>
        </w:rPr>
      </w:lvl>
    </w:lvlOverride>
  </w:num>
  <w:num w:numId="37">
    <w:abstractNumId w:val="20"/>
  </w:num>
  <w:num w:numId="38">
    <w:abstractNumId w:val="30"/>
  </w:num>
  <w:num w:numId="39">
    <w:abstractNumId w:val="29"/>
  </w:num>
  <w:num w:numId="40">
    <w:abstractNumId w:val="13"/>
  </w:num>
  <w:num w:numId="41">
    <w:abstractNumId w:val="1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AD"/>
    <w:rsid w:val="00010449"/>
    <w:rsid w:val="00040918"/>
    <w:rsid w:val="00040EE8"/>
    <w:rsid w:val="000619CE"/>
    <w:rsid w:val="00073E77"/>
    <w:rsid w:val="000813EF"/>
    <w:rsid w:val="000A722B"/>
    <w:rsid w:val="000D4B72"/>
    <w:rsid w:val="000D767F"/>
    <w:rsid w:val="000E5F03"/>
    <w:rsid w:val="000F2043"/>
    <w:rsid w:val="0012400C"/>
    <w:rsid w:val="0012758B"/>
    <w:rsid w:val="0013337D"/>
    <w:rsid w:val="001448C1"/>
    <w:rsid w:val="00152550"/>
    <w:rsid w:val="00163A0C"/>
    <w:rsid w:val="00170205"/>
    <w:rsid w:val="001A5996"/>
    <w:rsid w:val="001D32D9"/>
    <w:rsid w:val="001E60A7"/>
    <w:rsid w:val="001E7466"/>
    <w:rsid w:val="001F7299"/>
    <w:rsid w:val="001F7FF2"/>
    <w:rsid w:val="002030A4"/>
    <w:rsid w:val="002031F3"/>
    <w:rsid w:val="0020613E"/>
    <w:rsid w:val="00213A19"/>
    <w:rsid w:val="00216839"/>
    <w:rsid w:val="0022454F"/>
    <w:rsid w:val="00224684"/>
    <w:rsid w:val="00235481"/>
    <w:rsid w:val="0023667C"/>
    <w:rsid w:val="0024413A"/>
    <w:rsid w:val="00253132"/>
    <w:rsid w:val="00262021"/>
    <w:rsid w:val="00272070"/>
    <w:rsid w:val="00290D4F"/>
    <w:rsid w:val="00293965"/>
    <w:rsid w:val="002943C3"/>
    <w:rsid w:val="002B0246"/>
    <w:rsid w:val="002B328A"/>
    <w:rsid w:val="002C2ED7"/>
    <w:rsid w:val="002F1C07"/>
    <w:rsid w:val="002F6EDD"/>
    <w:rsid w:val="0030729F"/>
    <w:rsid w:val="00333A9D"/>
    <w:rsid w:val="00333B68"/>
    <w:rsid w:val="00336AA0"/>
    <w:rsid w:val="0034231C"/>
    <w:rsid w:val="0035423C"/>
    <w:rsid w:val="003558E9"/>
    <w:rsid w:val="00364309"/>
    <w:rsid w:val="00371312"/>
    <w:rsid w:val="00382075"/>
    <w:rsid w:val="00394B18"/>
    <w:rsid w:val="00395BC0"/>
    <w:rsid w:val="003962D9"/>
    <w:rsid w:val="0039759A"/>
    <w:rsid w:val="003E02E1"/>
    <w:rsid w:val="003E0584"/>
    <w:rsid w:val="003E407B"/>
    <w:rsid w:val="003F695D"/>
    <w:rsid w:val="004003BB"/>
    <w:rsid w:val="004007E0"/>
    <w:rsid w:val="0041287B"/>
    <w:rsid w:val="00413C57"/>
    <w:rsid w:val="00416A47"/>
    <w:rsid w:val="00441F7E"/>
    <w:rsid w:val="00443B8D"/>
    <w:rsid w:val="00476FC6"/>
    <w:rsid w:val="00487AE4"/>
    <w:rsid w:val="004A4775"/>
    <w:rsid w:val="004B17F5"/>
    <w:rsid w:val="004C294C"/>
    <w:rsid w:val="004D1EDB"/>
    <w:rsid w:val="004D4725"/>
    <w:rsid w:val="004E364F"/>
    <w:rsid w:val="004E36F5"/>
    <w:rsid w:val="004F0820"/>
    <w:rsid w:val="004F4901"/>
    <w:rsid w:val="004F4C40"/>
    <w:rsid w:val="00514D35"/>
    <w:rsid w:val="00520373"/>
    <w:rsid w:val="00520C7C"/>
    <w:rsid w:val="005237F9"/>
    <w:rsid w:val="005410D3"/>
    <w:rsid w:val="00546841"/>
    <w:rsid w:val="005628C4"/>
    <w:rsid w:val="0056421B"/>
    <w:rsid w:val="00582BD2"/>
    <w:rsid w:val="00584A99"/>
    <w:rsid w:val="00592791"/>
    <w:rsid w:val="005A0417"/>
    <w:rsid w:val="005C46B1"/>
    <w:rsid w:val="005C5884"/>
    <w:rsid w:val="005D0875"/>
    <w:rsid w:val="005D209C"/>
    <w:rsid w:val="005D3072"/>
    <w:rsid w:val="005D7834"/>
    <w:rsid w:val="005F275D"/>
    <w:rsid w:val="005F4B5D"/>
    <w:rsid w:val="00606104"/>
    <w:rsid w:val="00621AF6"/>
    <w:rsid w:val="0062282D"/>
    <w:rsid w:val="00631EB3"/>
    <w:rsid w:val="00637318"/>
    <w:rsid w:val="0064086C"/>
    <w:rsid w:val="00652AF9"/>
    <w:rsid w:val="00674CCF"/>
    <w:rsid w:val="006A1924"/>
    <w:rsid w:val="006A2EBD"/>
    <w:rsid w:val="006B570E"/>
    <w:rsid w:val="006B7B61"/>
    <w:rsid w:val="006E5723"/>
    <w:rsid w:val="006E6B21"/>
    <w:rsid w:val="006F4A59"/>
    <w:rsid w:val="00721681"/>
    <w:rsid w:val="007303B6"/>
    <w:rsid w:val="007517A8"/>
    <w:rsid w:val="00761989"/>
    <w:rsid w:val="00763B54"/>
    <w:rsid w:val="007655E6"/>
    <w:rsid w:val="00792E89"/>
    <w:rsid w:val="00797BB7"/>
    <w:rsid w:val="007C2D78"/>
    <w:rsid w:val="007C491F"/>
    <w:rsid w:val="007D07BB"/>
    <w:rsid w:val="007D39C3"/>
    <w:rsid w:val="007D6351"/>
    <w:rsid w:val="007E1834"/>
    <w:rsid w:val="007F22B1"/>
    <w:rsid w:val="007F2BD8"/>
    <w:rsid w:val="007F334E"/>
    <w:rsid w:val="0081411A"/>
    <w:rsid w:val="00815CFB"/>
    <w:rsid w:val="00824776"/>
    <w:rsid w:val="00846A98"/>
    <w:rsid w:val="00855C44"/>
    <w:rsid w:val="00872099"/>
    <w:rsid w:val="008822CA"/>
    <w:rsid w:val="0088415F"/>
    <w:rsid w:val="0088630C"/>
    <w:rsid w:val="008907F2"/>
    <w:rsid w:val="00893601"/>
    <w:rsid w:val="00896FAC"/>
    <w:rsid w:val="008A3134"/>
    <w:rsid w:val="008B4888"/>
    <w:rsid w:val="008E61F6"/>
    <w:rsid w:val="00907CDE"/>
    <w:rsid w:val="00915FBE"/>
    <w:rsid w:val="009161FE"/>
    <w:rsid w:val="00920B71"/>
    <w:rsid w:val="00935330"/>
    <w:rsid w:val="009365D7"/>
    <w:rsid w:val="00955554"/>
    <w:rsid w:val="00962161"/>
    <w:rsid w:val="00963FDD"/>
    <w:rsid w:val="009641FD"/>
    <w:rsid w:val="009841D8"/>
    <w:rsid w:val="00984A73"/>
    <w:rsid w:val="0099694B"/>
    <w:rsid w:val="009A50DF"/>
    <w:rsid w:val="009C7AB3"/>
    <w:rsid w:val="009D516D"/>
    <w:rsid w:val="009D714E"/>
    <w:rsid w:val="009E108F"/>
    <w:rsid w:val="009F685C"/>
    <w:rsid w:val="00A01B1C"/>
    <w:rsid w:val="00A05848"/>
    <w:rsid w:val="00A17154"/>
    <w:rsid w:val="00A339A3"/>
    <w:rsid w:val="00A529B4"/>
    <w:rsid w:val="00A66B0D"/>
    <w:rsid w:val="00A67E7B"/>
    <w:rsid w:val="00A76FB2"/>
    <w:rsid w:val="00A838B1"/>
    <w:rsid w:val="00A856D2"/>
    <w:rsid w:val="00A97358"/>
    <w:rsid w:val="00AA6735"/>
    <w:rsid w:val="00AB149C"/>
    <w:rsid w:val="00AC1AC0"/>
    <w:rsid w:val="00AC3ABB"/>
    <w:rsid w:val="00B01FF6"/>
    <w:rsid w:val="00B04715"/>
    <w:rsid w:val="00B2624F"/>
    <w:rsid w:val="00B35C60"/>
    <w:rsid w:val="00B3744B"/>
    <w:rsid w:val="00B51145"/>
    <w:rsid w:val="00B53D6B"/>
    <w:rsid w:val="00B723E6"/>
    <w:rsid w:val="00B74336"/>
    <w:rsid w:val="00B87641"/>
    <w:rsid w:val="00BB2F80"/>
    <w:rsid w:val="00BB645A"/>
    <w:rsid w:val="00BB7730"/>
    <w:rsid w:val="00BC100A"/>
    <w:rsid w:val="00BD3701"/>
    <w:rsid w:val="00BF3DE2"/>
    <w:rsid w:val="00C04B2C"/>
    <w:rsid w:val="00C102AC"/>
    <w:rsid w:val="00C256BE"/>
    <w:rsid w:val="00C30820"/>
    <w:rsid w:val="00C322F3"/>
    <w:rsid w:val="00C4421C"/>
    <w:rsid w:val="00C465D0"/>
    <w:rsid w:val="00C5412E"/>
    <w:rsid w:val="00C55FE1"/>
    <w:rsid w:val="00C578C0"/>
    <w:rsid w:val="00C57E36"/>
    <w:rsid w:val="00C60C18"/>
    <w:rsid w:val="00C70FC2"/>
    <w:rsid w:val="00C7643D"/>
    <w:rsid w:val="00C803B9"/>
    <w:rsid w:val="00C842AE"/>
    <w:rsid w:val="00C86FF3"/>
    <w:rsid w:val="00C9076F"/>
    <w:rsid w:val="00C9510C"/>
    <w:rsid w:val="00CB6DFE"/>
    <w:rsid w:val="00CC1395"/>
    <w:rsid w:val="00CC61EA"/>
    <w:rsid w:val="00CD537B"/>
    <w:rsid w:val="00CE5B5F"/>
    <w:rsid w:val="00D07F12"/>
    <w:rsid w:val="00D14A1D"/>
    <w:rsid w:val="00D16310"/>
    <w:rsid w:val="00D17F36"/>
    <w:rsid w:val="00D223AD"/>
    <w:rsid w:val="00D248A6"/>
    <w:rsid w:val="00D334D4"/>
    <w:rsid w:val="00D45618"/>
    <w:rsid w:val="00D5216C"/>
    <w:rsid w:val="00D67F35"/>
    <w:rsid w:val="00D71A1B"/>
    <w:rsid w:val="00D75658"/>
    <w:rsid w:val="00D8161F"/>
    <w:rsid w:val="00D81BF6"/>
    <w:rsid w:val="00D83E1F"/>
    <w:rsid w:val="00D85614"/>
    <w:rsid w:val="00D85DF6"/>
    <w:rsid w:val="00D96397"/>
    <w:rsid w:val="00D9701A"/>
    <w:rsid w:val="00DC562F"/>
    <w:rsid w:val="00DC71A3"/>
    <w:rsid w:val="00DC7C29"/>
    <w:rsid w:val="00DE3012"/>
    <w:rsid w:val="00E014E4"/>
    <w:rsid w:val="00E126E4"/>
    <w:rsid w:val="00E34068"/>
    <w:rsid w:val="00E43382"/>
    <w:rsid w:val="00E610AB"/>
    <w:rsid w:val="00E62B5D"/>
    <w:rsid w:val="00E640A0"/>
    <w:rsid w:val="00E743B5"/>
    <w:rsid w:val="00E752AC"/>
    <w:rsid w:val="00E82D45"/>
    <w:rsid w:val="00EA269D"/>
    <w:rsid w:val="00EA3C78"/>
    <w:rsid w:val="00EB166F"/>
    <w:rsid w:val="00EB312D"/>
    <w:rsid w:val="00EB6300"/>
    <w:rsid w:val="00EE3CDC"/>
    <w:rsid w:val="00F34B29"/>
    <w:rsid w:val="00F36D8A"/>
    <w:rsid w:val="00F441D2"/>
    <w:rsid w:val="00F51A72"/>
    <w:rsid w:val="00F53850"/>
    <w:rsid w:val="00F61883"/>
    <w:rsid w:val="00F6261F"/>
    <w:rsid w:val="00F64BE0"/>
    <w:rsid w:val="00F74E5A"/>
    <w:rsid w:val="00F80DF4"/>
    <w:rsid w:val="00F82C24"/>
    <w:rsid w:val="00F86ABF"/>
    <w:rsid w:val="00F87BAA"/>
    <w:rsid w:val="00F9266B"/>
    <w:rsid w:val="00FA06A0"/>
    <w:rsid w:val="00FB1791"/>
    <w:rsid w:val="00FB5C8F"/>
    <w:rsid w:val="00FC629F"/>
    <w:rsid w:val="00FD37F3"/>
    <w:rsid w:val="1A0AD822"/>
    <w:rsid w:val="26D170D4"/>
    <w:rsid w:val="361A4678"/>
    <w:rsid w:val="490A0F68"/>
    <w:rsid w:val="7519F0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0BE1"/>
  <w15:chartTrackingRefBased/>
  <w15:docId w15:val="{F6FA3BE1-A5F1-40AF-B740-BFA423BB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AD"/>
    <w:pPr>
      <w:spacing w:after="0" w:line="240" w:lineRule="auto"/>
      <w:ind w:left="432" w:hanging="432"/>
      <w:jc w:val="both"/>
    </w:pPr>
    <w:rPr>
      <w:rFonts w:ascii="Verdana" w:eastAsia="Times New Roman" w:hAnsi="Verdana" w:cs="Times New Roman"/>
      <w:szCs w:val="20"/>
      <w:lang w:eastAsia="en-GB"/>
    </w:rPr>
  </w:style>
  <w:style w:type="paragraph" w:styleId="Heading1">
    <w:name w:val="heading 1"/>
    <w:basedOn w:val="Normal"/>
    <w:next w:val="Normal"/>
    <w:link w:val="Heading1Char"/>
    <w:qFormat/>
    <w:rsid w:val="00D223AD"/>
    <w:pPr>
      <w:keepNext/>
      <w:widowControl w:val="0"/>
      <w:spacing w:before="480" w:after="60"/>
      <w:outlineLvl w:val="0"/>
    </w:pPr>
    <w:rPr>
      <w:color w:val="808080"/>
      <w:kern w:val="28"/>
      <w:sz w:val="72"/>
    </w:rPr>
  </w:style>
  <w:style w:type="paragraph" w:styleId="Heading2">
    <w:name w:val="heading 2"/>
    <w:basedOn w:val="Normal"/>
    <w:next w:val="Normal"/>
    <w:link w:val="Heading2Char"/>
    <w:uiPriority w:val="9"/>
    <w:unhideWhenUsed/>
    <w:qFormat/>
    <w:rsid w:val="008A3134"/>
    <w:pPr>
      <w:keepNext/>
      <w:keepLines/>
      <w:spacing w:before="40"/>
      <w:outlineLvl w:val="1"/>
    </w:pPr>
    <w:rPr>
      <w:rFonts w:eastAsiaTheme="majorEastAsia" w:cstheme="majorBidi"/>
      <w:color w:val="002060"/>
      <w:sz w:val="26"/>
      <w:szCs w:val="26"/>
    </w:rPr>
  </w:style>
  <w:style w:type="paragraph" w:styleId="Heading3">
    <w:name w:val="heading 3"/>
    <w:basedOn w:val="Normal"/>
    <w:next w:val="Normal"/>
    <w:link w:val="Heading3Char"/>
    <w:uiPriority w:val="9"/>
    <w:unhideWhenUsed/>
    <w:qFormat/>
    <w:rsid w:val="008A3134"/>
    <w:pPr>
      <w:keepNext/>
      <w:keepLines/>
      <w:spacing w:before="40"/>
      <w:outlineLvl w:val="2"/>
    </w:pPr>
    <w:rPr>
      <w:rFonts w:eastAsiaTheme="majorEastAsia" w:cstheme="majorBidi"/>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AD"/>
    <w:rPr>
      <w:rFonts w:ascii="Verdana" w:eastAsia="Times New Roman" w:hAnsi="Verdana" w:cs="Times New Roman"/>
      <w:color w:val="808080"/>
      <w:kern w:val="28"/>
      <w:sz w:val="72"/>
      <w:szCs w:val="20"/>
      <w:lang w:eastAsia="en-GB"/>
    </w:rPr>
  </w:style>
  <w:style w:type="paragraph" w:styleId="Header">
    <w:name w:val="header"/>
    <w:basedOn w:val="Normal"/>
    <w:link w:val="HeaderChar"/>
    <w:uiPriority w:val="99"/>
    <w:unhideWhenUsed/>
    <w:rsid w:val="00F82C24"/>
    <w:pPr>
      <w:tabs>
        <w:tab w:val="center" w:pos="4513"/>
        <w:tab w:val="right" w:pos="9026"/>
      </w:tabs>
    </w:pPr>
  </w:style>
  <w:style w:type="character" w:customStyle="1" w:styleId="HeaderChar">
    <w:name w:val="Header Char"/>
    <w:basedOn w:val="DefaultParagraphFont"/>
    <w:link w:val="Header"/>
    <w:uiPriority w:val="99"/>
    <w:rsid w:val="00F82C24"/>
    <w:rPr>
      <w:rFonts w:ascii="Verdana" w:eastAsia="Times New Roman" w:hAnsi="Verdana" w:cs="Times New Roman"/>
      <w:szCs w:val="20"/>
      <w:lang w:eastAsia="en-GB"/>
    </w:rPr>
  </w:style>
  <w:style w:type="paragraph" w:styleId="Footer">
    <w:name w:val="footer"/>
    <w:basedOn w:val="Normal"/>
    <w:link w:val="FooterChar"/>
    <w:uiPriority w:val="99"/>
    <w:unhideWhenUsed/>
    <w:rsid w:val="00F82C24"/>
    <w:pPr>
      <w:tabs>
        <w:tab w:val="center" w:pos="4513"/>
        <w:tab w:val="right" w:pos="9026"/>
      </w:tabs>
    </w:pPr>
  </w:style>
  <w:style w:type="character" w:customStyle="1" w:styleId="FooterChar">
    <w:name w:val="Footer Char"/>
    <w:basedOn w:val="DefaultParagraphFont"/>
    <w:link w:val="Footer"/>
    <w:uiPriority w:val="99"/>
    <w:rsid w:val="00F82C24"/>
    <w:rPr>
      <w:rFonts w:ascii="Verdana" w:eastAsia="Times New Roman" w:hAnsi="Verdana" w:cs="Times New Roman"/>
      <w:szCs w:val="20"/>
      <w:lang w:eastAsia="en-GB"/>
    </w:rPr>
  </w:style>
  <w:style w:type="table" w:styleId="TableGrid">
    <w:name w:val="Table Grid"/>
    <w:basedOn w:val="TableNormal"/>
    <w:uiPriority w:val="39"/>
    <w:rsid w:val="0085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54"/>
    <w:pPr>
      <w:ind w:left="720"/>
      <w:contextualSpacing/>
    </w:pPr>
  </w:style>
  <w:style w:type="paragraph" w:styleId="BalloonText">
    <w:name w:val="Balloon Text"/>
    <w:basedOn w:val="Normal"/>
    <w:link w:val="BalloonTextChar"/>
    <w:uiPriority w:val="99"/>
    <w:semiHidden/>
    <w:unhideWhenUsed/>
    <w:rsid w:val="0095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554"/>
    <w:rPr>
      <w:rFonts w:ascii="Segoe UI" w:eastAsia="Times New Roman" w:hAnsi="Segoe UI" w:cs="Segoe UI"/>
      <w:sz w:val="18"/>
      <w:szCs w:val="18"/>
      <w:lang w:eastAsia="en-GB"/>
    </w:rPr>
  </w:style>
  <w:style w:type="paragraph" w:customStyle="1" w:styleId="Default">
    <w:name w:val="Default"/>
    <w:rsid w:val="002F1C07"/>
    <w:pPr>
      <w:autoSpaceDE w:val="0"/>
      <w:autoSpaceDN w:val="0"/>
      <w:adjustRightInd w:val="0"/>
      <w:spacing w:after="0" w:line="240" w:lineRule="auto"/>
    </w:pPr>
    <w:rPr>
      <w:rFonts w:ascii="Calibri" w:hAnsi="Calibri" w:cs="Calibri"/>
      <w:color w:val="000000"/>
      <w:sz w:val="24"/>
      <w:szCs w:val="24"/>
    </w:rPr>
  </w:style>
  <w:style w:type="paragraph" w:customStyle="1" w:styleId="Noindent">
    <w:name w:val="No indent"/>
    <w:basedOn w:val="Normal"/>
    <w:rsid w:val="00C5412E"/>
    <w:pPr>
      <w:tabs>
        <w:tab w:val="left" w:pos="426"/>
      </w:tabs>
      <w:ind w:left="0" w:firstLine="0"/>
    </w:pPr>
  </w:style>
  <w:style w:type="paragraph" w:customStyle="1" w:styleId="DPDReportNumberedParaIntro">
    <w:name w:val="DPD Report Numbered Para Intro"/>
    <w:basedOn w:val="Normal"/>
    <w:rsid w:val="00896FAC"/>
    <w:pPr>
      <w:numPr>
        <w:numId w:val="30"/>
      </w:numPr>
      <w:spacing w:after="240"/>
      <w:jc w:val="left"/>
    </w:pPr>
    <w:rPr>
      <w:rFonts w:eastAsia="MS Mincho"/>
      <w:bCs/>
    </w:rPr>
  </w:style>
  <w:style w:type="paragraph" w:customStyle="1" w:styleId="DPDIntro">
    <w:name w:val="DPD Intro"/>
    <w:basedOn w:val="DPDReportNumberedParaIntro"/>
    <w:rsid w:val="00896FAC"/>
    <w:pPr>
      <w:numPr>
        <w:numId w:val="0"/>
      </w:numPr>
    </w:pPr>
    <w:rPr>
      <w:b/>
    </w:rPr>
  </w:style>
  <w:style w:type="numbering" w:customStyle="1" w:styleId="Bullet">
    <w:name w:val="Bullet"/>
    <w:rsid w:val="005410D3"/>
    <w:pPr>
      <w:numPr>
        <w:numId w:val="33"/>
      </w:numPr>
    </w:pPr>
  </w:style>
  <w:style w:type="numbering" w:customStyle="1" w:styleId="Numbered">
    <w:name w:val="Numbered"/>
    <w:rsid w:val="005410D3"/>
    <w:pPr>
      <w:numPr>
        <w:numId w:val="35"/>
      </w:numPr>
    </w:pPr>
  </w:style>
  <w:style w:type="character" w:styleId="CommentReference">
    <w:name w:val="annotation reference"/>
    <w:basedOn w:val="DefaultParagraphFont"/>
    <w:uiPriority w:val="99"/>
    <w:semiHidden/>
    <w:unhideWhenUsed/>
    <w:rsid w:val="004E364F"/>
    <w:rPr>
      <w:sz w:val="16"/>
      <w:szCs w:val="16"/>
    </w:rPr>
  </w:style>
  <w:style w:type="paragraph" w:styleId="CommentText">
    <w:name w:val="annotation text"/>
    <w:basedOn w:val="Normal"/>
    <w:link w:val="CommentTextChar"/>
    <w:uiPriority w:val="99"/>
    <w:unhideWhenUsed/>
    <w:rsid w:val="004E364F"/>
    <w:rPr>
      <w:sz w:val="20"/>
    </w:rPr>
  </w:style>
  <w:style w:type="character" w:customStyle="1" w:styleId="CommentTextChar">
    <w:name w:val="Comment Text Char"/>
    <w:basedOn w:val="DefaultParagraphFont"/>
    <w:link w:val="CommentText"/>
    <w:uiPriority w:val="99"/>
    <w:rsid w:val="004E364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E364F"/>
    <w:rPr>
      <w:b/>
      <w:bCs/>
    </w:rPr>
  </w:style>
  <w:style w:type="character" w:customStyle="1" w:styleId="CommentSubjectChar">
    <w:name w:val="Comment Subject Char"/>
    <w:basedOn w:val="CommentTextChar"/>
    <w:link w:val="CommentSubject"/>
    <w:uiPriority w:val="99"/>
    <w:semiHidden/>
    <w:rsid w:val="004E364F"/>
    <w:rPr>
      <w:rFonts w:ascii="Verdana" w:eastAsia="Times New Roman" w:hAnsi="Verdana" w:cs="Times New Roman"/>
      <w:b/>
      <w:bCs/>
      <w:sz w:val="20"/>
      <w:szCs w:val="20"/>
      <w:lang w:eastAsia="en-GB"/>
    </w:rPr>
  </w:style>
  <w:style w:type="character" w:styleId="Hyperlink">
    <w:name w:val="Hyperlink"/>
    <w:basedOn w:val="DefaultParagraphFont"/>
    <w:uiPriority w:val="99"/>
    <w:unhideWhenUsed/>
    <w:rsid w:val="007303B6"/>
    <w:rPr>
      <w:strike w:val="0"/>
      <w:dstrike w:val="0"/>
      <w:color w:val="2B8FA1"/>
      <w:u w:val="none"/>
      <w:effect w:val="none"/>
    </w:rPr>
  </w:style>
  <w:style w:type="character" w:customStyle="1" w:styleId="legds2">
    <w:name w:val="legds2"/>
    <w:basedOn w:val="DefaultParagraphFont"/>
    <w:rsid w:val="003962D9"/>
    <w:rPr>
      <w:vanish w:val="0"/>
      <w:webHidden w:val="0"/>
      <w:specVanish w:val="0"/>
    </w:rPr>
  </w:style>
  <w:style w:type="paragraph" w:styleId="NormalWeb">
    <w:name w:val="Normal (Web)"/>
    <w:basedOn w:val="Normal"/>
    <w:uiPriority w:val="99"/>
    <w:semiHidden/>
    <w:unhideWhenUsed/>
    <w:rsid w:val="0012758B"/>
    <w:pPr>
      <w:spacing w:before="180" w:after="180"/>
      <w:ind w:left="0" w:firstLine="0"/>
      <w:jc w:val="left"/>
    </w:pPr>
    <w:rPr>
      <w:rFonts w:ascii="Times New Roman" w:hAnsi="Times New Roman"/>
      <w:sz w:val="24"/>
      <w:szCs w:val="24"/>
    </w:rPr>
  </w:style>
  <w:style w:type="paragraph" w:styleId="Revision">
    <w:name w:val="Revision"/>
    <w:hidden/>
    <w:uiPriority w:val="99"/>
    <w:semiHidden/>
    <w:rsid w:val="00FA06A0"/>
    <w:pPr>
      <w:spacing w:after="0" w:line="240" w:lineRule="auto"/>
    </w:pPr>
    <w:rPr>
      <w:rFonts w:ascii="Verdana" w:eastAsia="Times New Roman" w:hAnsi="Verdana" w:cs="Times New Roman"/>
      <w:szCs w:val="20"/>
      <w:lang w:eastAsia="en-GB"/>
    </w:rPr>
  </w:style>
  <w:style w:type="paragraph" w:styleId="FootnoteText">
    <w:name w:val="footnote text"/>
    <w:basedOn w:val="Normal"/>
    <w:link w:val="FootnoteTextChar"/>
    <w:uiPriority w:val="99"/>
    <w:unhideWhenUsed/>
    <w:rsid w:val="00EB6300"/>
    <w:rPr>
      <w:sz w:val="20"/>
    </w:rPr>
  </w:style>
  <w:style w:type="character" w:customStyle="1" w:styleId="FootnoteTextChar">
    <w:name w:val="Footnote Text Char"/>
    <w:basedOn w:val="DefaultParagraphFont"/>
    <w:link w:val="FootnoteText"/>
    <w:uiPriority w:val="99"/>
    <w:rsid w:val="00EB6300"/>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EB6300"/>
    <w:rPr>
      <w:vertAlign w:val="superscript"/>
    </w:rPr>
  </w:style>
  <w:style w:type="character" w:customStyle="1" w:styleId="Heading2Char">
    <w:name w:val="Heading 2 Char"/>
    <w:basedOn w:val="DefaultParagraphFont"/>
    <w:link w:val="Heading2"/>
    <w:uiPriority w:val="9"/>
    <w:rsid w:val="008A3134"/>
    <w:rPr>
      <w:rFonts w:ascii="Verdana" w:eastAsiaTheme="majorEastAsia" w:hAnsi="Verdana" w:cstheme="majorBidi"/>
      <w:color w:val="002060"/>
      <w:sz w:val="26"/>
      <w:szCs w:val="26"/>
      <w:lang w:eastAsia="en-GB"/>
    </w:rPr>
  </w:style>
  <w:style w:type="character" w:customStyle="1" w:styleId="Heading3Char">
    <w:name w:val="Heading 3 Char"/>
    <w:basedOn w:val="DefaultParagraphFont"/>
    <w:link w:val="Heading3"/>
    <w:uiPriority w:val="9"/>
    <w:rsid w:val="008A3134"/>
    <w:rPr>
      <w:rFonts w:ascii="Verdana" w:eastAsiaTheme="majorEastAsia" w:hAnsi="Verdana" w:cstheme="majorBidi"/>
      <w:color w:val="0070C0"/>
      <w:sz w:val="24"/>
      <w:szCs w:val="24"/>
      <w:lang w:eastAsia="en-GB"/>
    </w:rPr>
  </w:style>
  <w:style w:type="paragraph" w:styleId="TOC2">
    <w:name w:val="toc 2"/>
    <w:basedOn w:val="Normal"/>
    <w:next w:val="Normal"/>
    <w:autoRedefine/>
    <w:uiPriority w:val="39"/>
    <w:unhideWhenUsed/>
    <w:rsid w:val="00BB645A"/>
    <w:pPr>
      <w:tabs>
        <w:tab w:val="right" w:leader="dot" w:pos="9016"/>
      </w:tabs>
      <w:spacing w:after="100"/>
      <w:ind w:left="-142" w:hanging="70"/>
      <w:jc w:val="left"/>
    </w:pPr>
  </w:style>
  <w:style w:type="paragraph" w:styleId="TOC3">
    <w:name w:val="toc 3"/>
    <w:basedOn w:val="Normal"/>
    <w:next w:val="Normal"/>
    <w:autoRedefine/>
    <w:uiPriority w:val="39"/>
    <w:unhideWhenUsed/>
    <w:rsid w:val="008A3134"/>
    <w:pPr>
      <w:spacing w:after="100"/>
      <w:ind w:left="440"/>
    </w:pPr>
  </w:style>
  <w:style w:type="character" w:customStyle="1" w:styleId="UnresolvedMention">
    <w:name w:val="Unresolved Mention"/>
    <w:basedOn w:val="DefaultParagraphFont"/>
    <w:uiPriority w:val="99"/>
    <w:semiHidden/>
    <w:unhideWhenUsed/>
    <w:rsid w:val="00DC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62894">
      <w:bodyDiv w:val="1"/>
      <w:marLeft w:val="0"/>
      <w:marRight w:val="0"/>
      <w:marTop w:val="0"/>
      <w:marBottom w:val="0"/>
      <w:divBdr>
        <w:top w:val="none" w:sz="0" w:space="0" w:color="auto"/>
        <w:left w:val="none" w:sz="0" w:space="0" w:color="auto"/>
        <w:bottom w:val="none" w:sz="0" w:space="0" w:color="auto"/>
        <w:right w:val="none" w:sz="0" w:space="0" w:color="auto"/>
      </w:divBdr>
    </w:div>
    <w:div w:id="2015834143">
      <w:bodyDiv w:val="1"/>
      <w:marLeft w:val="0"/>
      <w:marRight w:val="0"/>
      <w:marTop w:val="0"/>
      <w:marBottom w:val="0"/>
      <w:divBdr>
        <w:top w:val="none" w:sz="0" w:space="0" w:color="auto"/>
        <w:left w:val="none" w:sz="0" w:space="0" w:color="auto"/>
        <w:bottom w:val="none" w:sz="0" w:space="0" w:color="auto"/>
        <w:right w:val="none" w:sz="0" w:space="0" w:color="auto"/>
      </w:divBdr>
      <w:divsChild>
        <w:div w:id="1236354426">
          <w:marLeft w:val="0"/>
          <w:marRight w:val="0"/>
          <w:marTop w:val="0"/>
          <w:marBottom w:val="0"/>
          <w:divBdr>
            <w:top w:val="none" w:sz="0" w:space="0" w:color="auto"/>
            <w:left w:val="none" w:sz="0" w:space="0" w:color="auto"/>
            <w:bottom w:val="none" w:sz="0" w:space="0" w:color="auto"/>
            <w:right w:val="none" w:sz="0" w:space="0" w:color="auto"/>
          </w:divBdr>
          <w:divsChild>
            <w:div w:id="1237591765">
              <w:marLeft w:val="0"/>
              <w:marRight w:val="0"/>
              <w:marTop w:val="0"/>
              <w:marBottom w:val="0"/>
              <w:divBdr>
                <w:top w:val="none" w:sz="0" w:space="0" w:color="auto"/>
                <w:left w:val="none" w:sz="0" w:space="0" w:color="auto"/>
                <w:bottom w:val="none" w:sz="0" w:space="0" w:color="auto"/>
                <w:right w:val="none" w:sz="0" w:space="0" w:color="auto"/>
              </w:divBdr>
              <w:divsChild>
                <w:div w:id="353919565">
                  <w:marLeft w:val="-300"/>
                  <w:marRight w:val="0"/>
                  <w:marTop w:val="0"/>
                  <w:marBottom w:val="0"/>
                  <w:divBdr>
                    <w:top w:val="none" w:sz="0" w:space="0" w:color="auto"/>
                    <w:left w:val="none" w:sz="0" w:space="0" w:color="auto"/>
                    <w:bottom w:val="none" w:sz="0" w:space="0" w:color="auto"/>
                    <w:right w:val="none" w:sz="0" w:space="0" w:color="auto"/>
                  </w:divBdr>
                  <w:divsChild>
                    <w:div w:id="935483542">
                      <w:marLeft w:val="0"/>
                      <w:marRight w:val="0"/>
                      <w:marTop w:val="0"/>
                      <w:marBottom w:val="0"/>
                      <w:divBdr>
                        <w:top w:val="none" w:sz="0" w:space="0" w:color="auto"/>
                        <w:left w:val="none" w:sz="0" w:space="0" w:color="auto"/>
                        <w:bottom w:val="none" w:sz="0" w:space="0" w:color="auto"/>
                        <w:right w:val="none" w:sz="0" w:space="0" w:color="auto"/>
                      </w:divBdr>
                      <w:divsChild>
                        <w:div w:id="885684851">
                          <w:marLeft w:val="0"/>
                          <w:marRight w:val="0"/>
                          <w:marTop w:val="0"/>
                          <w:marBottom w:val="0"/>
                          <w:divBdr>
                            <w:top w:val="none" w:sz="0" w:space="0" w:color="auto"/>
                            <w:left w:val="none" w:sz="0" w:space="0" w:color="auto"/>
                            <w:bottom w:val="none" w:sz="0" w:space="0" w:color="auto"/>
                            <w:right w:val="none" w:sz="0" w:space="0" w:color="auto"/>
                          </w:divBdr>
                          <w:divsChild>
                            <w:div w:id="263537803">
                              <w:marLeft w:val="0"/>
                              <w:marRight w:val="0"/>
                              <w:marTop w:val="0"/>
                              <w:marBottom w:val="0"/>
                              <w:divBdr>
                                <w:top w:val="none" w:sz="0" w:space="0" w:color="auto"/>
                                <w:left w:val="none" w:sz="0" w:space="0" w:color="auto"/>
                                <w:bottom w:val="none" w:sz="0" w:space="0" w:color="auto"/>
                                <w:right w:val="none" w:sz="0" w:space="0" w:color="auto"/>
                              </w:divBdr>
                              <w:divsChild>
                                <w:div w:id="1233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pga/2008/29/part/11"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oxford.gov.uk/community-infrastructure-levy/cil-partial-review-examination-library" TargetMode="External"/><Relationship Id="rId1" Type="http://schemas.openxmlformats.org/officeDocument/2006/relationships/hyperlink" Target="https://www.oxford.gov.uk/community-infrastructure-levy/community-infrastructure-levy-oxf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FC4B3876-5839-459D-BECC-671DE5BAF92F}">
  <ds:schemaRefs>
    <ds:schemaRef ds:uri="http://schemas.openxmlformats.org/officeDocument/2006/bibliography"/>
  </ds:schemaRefs>
</ds:datastoreItem>
</file>

<file path=customXml/itemProps2.xml><?xml version="1.0" encoding="utf-8"?>
<ds:datastoreItem xmlns:ds="http://schemas.openxmlformats.org/officeDocument/2006/customXml" ds:itemID="{8F8637BF-D5F6-4F38-8204-DD8E7C9CED29}"/>
</file>

<file path=customXml/itemProps3.xml><?xml version="1.0" encoding="utf-8"?>
<ds:datastoreItem xmlns:ds="http://schemas.openxmlformats.org/officeDocument/2006/customXml" ds:itemID="{4689DDB6-9275-48D3-AAAD-F6F1804031EB}"/>
</file>

<file path=customXml/itemProps4.xml><?xml version="1.0" encoding="utf-8"?>
<ds:datastoreItem xmlns:ds="http://schemas.openxmlformats.org/officeDocument/2006/customXml" ds:itemID="{EAD8F76E-14DF-4ED3-AC6E-6B43E6DDC5B8}"/>
</file>

<file path=docProps/app.xml><?xml version="1.0" encoding="utf-8"?>
<Properties xmlns="http://schemas.openxmlformats.org/officeDocument/2006/extended-properties" xmlns:vt="http://schemas.openxmlformats.org/officeDocument/2006/docPropsVTypes">
  <Template>Normal</Template>
  <TotalTime>0</TotalTime>
  <Pages>10</Pages>
  <Words>3438</Words>
  <Characters>18774</Characters>
  <Application>Microsoft Office Word</Application>
  <DocSecurity>0</DocSecurity>
  <Lines>586</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Armitage</dc:creator>
  <cp:keywords/>
  <dc:description/>
  <cp:lastModifiedBy>FREEMAN Lorraine</cp:lastModifiedBy>
  <cp:revision>2</cp:revision>
  <cp:lastPrinted>2016-09-30T10:30:00Z</cp:lastPrinted>
  <dcterms:created xsi:type="dcterms:W3CDTF">2025-05-16T11:46:00Z</dcterms:created>
  <dcterms:modified xsi:type="dcterms:W3CDTF">2025-05-16T11:46:00Z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100</vt:r8>
  </property>
  <property fmtid="{D5CDD505-2E9C-101B-9397-08002B2CF9AE}" pid="4" name="MediaServiceImageTags">
    <vt:lpwstr/>
  </property>
</Properties>
</file>